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E008E" w14:textId="13D1FE28" w:rsidR="0098053B" w:rsidRPr="0098053B" w:rsidRDefault="0098053B" w:rsidP="0098053B">
      <w:pPr>
        <w:rPr>
          <w:rFonts w:ascii="Arial" w:hAnsi="Arial" w:cs="Arial"/>
          <w:b/>
          <w:sz w:val="24"/>
          <w:szCs w:val="24"/>
          <w:lang w:eastAsia="zh-CN"/>
        </w:rPr>
      </w:pPr>
      <w:r w:rsidRPr="0098053B">
        <w:rPr>
          <w:rFonts w:ascii="Arial" w:hAnsi="Arial" w:cs="Arial"/>
          <w:b/>
          <w:sz w:val="24"/>
          <w:szCs w:val="24"/>
          <w:lang w:eastAsia="zh-CN"/>
        </w:rPr>
        <w:t>3GPP TSG-RAN WG4 Meeting #116</w:t>
      </w:r>
      <w:r w:rsidRPr="0098053B">
        <w:rPr>
          <w:rFonts w:ascii="Arial" w:hAnsi="Arial" w:cs="Arial"/>
          <w:b/>
          <w:sz w:val="24"/>
          <w:szCs w:val="24"/>
          <w:lang w:eastAsia="zh-CN"/>
        </w:rPr>
        <w:tab/>
      </w:r>
      <w:r w:rsidRPr="0098053B">
        <w:rPr>
          <w:rFonts w:ascii="Arial" w:hAnsi="Arial" w:cs="Arial"/>
          <w:b/>
          <w:sz w:val="24"/>
          <w:szCs w:val="24"/>
          <w:lang w:eastAsia="zh-CN"/>
        </w:rPr>
        <w:tab/>
      </w:r>
      <w:r w:rsidRPr="0098053B">
        <w:rPr>
          <w:rFonts w:ascii="Arial" w:hAnsi="Arial" w:cs="Arial"/>
          <w:b/>
          <w:sz w:val="24"/>
          <w:szCs w:val="24"/>
          <w:lang w:eastAsia="zh-CN"/>
        </w:rPr>
        <w:tab/>
      </w:r>
      <w:r w:rsidRPr="0098053B">
        <w:rPr>
          <w:rFonts w:ascii="Arial" w:hAnsi="Arial" w:cs="Arial"/>
          <w:b/>
          <w:sz w:val="24"/>
          <w:szCs w:val="24"/>
          <w:lang w:eastAsia="zh-CN"/>
        </w:rPr>
        <w:tab/>
      </w:r>
      <w:r w:rsidR="003309CE">
        <w:rPr>
          <w:rFonts w:ascii="Arial" w:hAnsi="Arial" w:cs="Arial"/>
          <w:b/>
          <w:sz w:val="24"/>
          <w:szCs w:val="24"/>
          <w:lang w:eastAsia="zh-CN"/>
        </w:rPr>
        <w:tab/>
      </w:r>
      <w:r w:rsidR="003309CE">
        <w:rPr>
          <w:rFonts w:ascii="Arial" w:hAnsi="Arial" w:cs="Arial"/>
          <w:b/>
          <w:sz w:val="24"/>
          <w:szCs w:val="24"/>
          <w:lang w:eastAsia="zh-CN"/>
        </w:rPr>
        <w:tab/>
      </w:r>
      <w:r w:rsidR="003309CE">
        <w:rPr>
          <w:rFonts w:ascii="Arial" w:hAnsi="Arial" w:cs="Arial"/>
          <w:b/>
          <w:sz w:val="24"/>
          <w:szCs w:val="24"/>
          <w:lang w:eastAsia="zh-CN"/>
        </w:rPr>
        <w:tab/>
      </w:r>
      <w:r w:rsidR="003309CE">
        <w:rPr>
          <w:rFonts w:ascii="Arial" w:hAnsi="Arial" w:cs="Arial"/>
          <w:b/>
          <w:sz w:val="24"/>
          <w:szCs w:val="24"/>
          <w:lang w:eastAsia="zh-CN"/>
        </w:rPr>
        <w:tab/>
      </w:r>
      <w:r w:rsidR="003309CE">
        <w:rPr>
          <w:rFonts w:ascii="Arial" w:hAnsi="Arial" w:cs="Arial"/>
          <w:b/>
          <w:sz w:val="24"/>
          <w:szCs w:val="24"/>
          <w:lang w:eastAsia="zh-CN"/>
        </w:rPr>
        <w:tab/>
      </w:r>
      <w:r w:rsidR="003309CE">
        <w:rPr>
          <w:rFonts w:ascii="Arial" w:hAnsi="Arial" w:cs="Arial"/>
          <w:b/>
          <w:sz w:val="24"/>
          <w:szCs w:val="24"/>
          <w:lang w:eastAsia="zh-CN"/>
        </w:rPr>
        <w:tab/>
      </w:r>
      <w:r w:rsidR="003309CE">
        <w:rPr>
          <w:rFonts w:ascii="Arial" w:hAnsi="Arial" w:cs="Arial"/>
          <w:b/>
          <w:sz w:val="24"/>
          <w:szCs w:val="24"/>
          <w:lang w:eastAsia="zh-CN"/>
        </w:rPr>
        <w:tab/>
      </w:r>
      <w:r w:rsidR="003309CE">
        <w:rPr>
          <w:rFonts w:ascii="Arial" w:hAnsi="Arial" w:cs="Arial"/>
          <w:b/>
          <w:sz w:val="24"/>
          <w:szCs w:val="24"/>
          <w:lang w:eastAsia="zh-CN"/>
        </w:rPr>
        <w:tab/>
      </w:r>
      <w:r w:rsidR="003309CE">
        <w:rPr>
          <w:rFonts w:ascii="Arial" w:hAnsi="Arial" w:cs="Arial"/>
          <w:b/>
          <w:sz w:val="24"/>
          <w:szCs w:val="24"/>
          <w:lang w:eastAsia="zh-CN"/>
        </w:rPr>
        <w:tab/>
      </w:r>
      <w:r w:rsidR="003309CE">
        <w:rPr>
          <w:rFonts w:ascii="Arial" w:hAnsi="Arial" w:cs="Arial"/>
          <w:b/>
          <w:sz w:val="24"/>
          <w:szCs w:val="24"/>
          <w:lang w:eastAsia="zh-CN"/>
        </w:rPr>
        <w:tab/>
      </w:r>
      <w:r w:rsidR="003309CE">
        <w:rPr>
          <w:rFonts w:ascii="Arial" w:hAnsi="Arial" w:cs="Arial"/>
          <w:b/>
          <w:sz w:val="24"/>
          <w:szCs w:val="24"/>
          <w:lang w:eastAsia="zh-CN"/>
        </w:rPr>
        <w:tab/>
      </w:r>
      <w:r w:rsidR="00971B1B" w:rsidRPr="00971B1B">
        <w:rPr>
          <w:rFonts w:ascii="Arial" w:hAnsi="Arial" w:cs="Arial"/>
          <w:b/>
          <w:sz w:val="24"/>
          <w:szCs w:val="24"/>
          <w:lang w:eastAsia="zh-CN"/>
        </w:rPr>
        <w:t>R4-2509771</w:t>
      </w:r>
    </w:p>
    <w:p w14:paraId="4D769010" w14:textId="77777777" w:rsidR="0098053B" w:rsidRDefault="0098053B" w:rsidP="0098053B">
      <w:pPr>
        <w:rPr>
          <w:rFonts w:ascii="Arial" w:hAnsi="Arial" w:cs="Arial"/>
          <w:b/>
          <w:sz w:val="24"/>
          <w:szCs w:val="24"/>
          <w:lang w:eastAsia="zh-CN"/>
        </w:rPr>
      </w:pPr>
      <w:r w:rsidRPr="0098053B">
        <w:rPr>
          <w:rFonts w:ascii="Arial" w:hAnsi="Arial" w:cs="Arial"/>
          <w:b/>
          <w:sz w:val="24"/>
          <w:szCs w:val="24"/>
          <w:lang w:eastAsia="zh-CN"/>
        </w:rPr>
        <w:t>Bengaluru, India, August 25th – 29th, 2025</w:t>
      </w:r>
    </w:p>
    <w:p w14:paraId="3EA1A6F3" w14:textId="4F938DE7" w:rsidR="004E3E93" w:rsidRPr="003B73B5" w:rsidRDefault="004E3E93" w:rsidP="0098053B">
      <w:pPr>
        <w:rPr>
          <w:rFonts w:ascii="Arial" w:hAnsi="Arial" w:cs="Arial"/>
          <w:sz w:val="16"/>
          <w:szCs w:val="16"/>
        </w:rPr>
      </w:pPr>
      <w:r w:rsidRPr="00E33EB0">
        <w:rPr>
          <w:rFonts w:ascii="Arial" w:hAnsi="Arial" w:cs="Arial"/>
          <w:b/>
        </w:rPr>
        <w:t>Agenda Item:</w:t>
      </w:r>
      <w:r w:rsidRPr="00E33EB0">
        <w:rPr>
          <w:rFonts w:ascii="Arial" w:hAnsi="Arial" w:cs="Arial"/>
          <w:b/>
        </w:rPr>
        <w:tab/>
      </w:r>
      <w:r w:rsidR="003B73B5" w:rsidRPr="00E33EB0">
        <w:rPr>
          <w:rFonts w:ascii="Arial" w:hAnsi="Arial" w:cs="Arial"/>
          <w:b/>
        </w:rPr>
        <w:tab/>
      </w:r>
      <w:r w:rsidR="003B73B5" w:rsidRPr="00E33EB0">
        <w:rPr>
          <w:rFonts w:ascii="Arial" w:hAnsi="Arial" w:cs="Arial"/>
          <w:b/>
        </w:rPr>
        <w:tab/>
        <w:t>7.</w:t>
      </w:r>
      <w:r w:rsidR="0098053B">
        <w:rPr>
          <w:rFonts w:ascii="Arial" w:hAnsi="Arial" w:cs="Arial"/>
          <w:b/>
        </w:rPr>
        <w:t>6.3.3</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rPr>
        <w:t>Xiaomi</w:t>
      </w:r>
    </w:p>
    <w:p w14:paraId="177266E6" w14:textId="38740410" w:rsidR="00356B01" w:rsidRPr="005E1368" w:rsidRDefault="00356B01" w:rsidP="005E1368">
      <w:pPr>
        <w:rPr>
          <w:rFonts w:ascii="Arial" w:hAnsi="Arial" w:cs="Arial"/>
          <w:sz w:val="16"/>
          <w:szCs w:val="16"/>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E33EB0" w:rsidRPr="00E33EB0">
        <w:rPr>
          <w:rFonts w:ascii="Arial" w:hAnsi="Arial" w:cs="Arial"/>
          <w:b/>
        </w:rPr>
        <w:t>IoT-NTN HPUE RF requirements</w:t>
      </w:r>
    </w:p>
    <w:p w14:paraId="1AE2556E" w14:textId="67D52C92"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00F46A7A">
        <w:rPr>
          <w:rFonts w:ascii="Arial" w:hAnsi="Arial" w:cs="Arial"/>
          <w:b/>
        </w:rPr>
        <w:t>Discussion</w:t>
      </w:r>
    </w:p>
    <w:p w14:paraId="6445154C" w14:textId="6EE844F9" w:rsidR="009B37B2" w:rsidRDefault="00825D14" w:rsidP="00F05C38">
      <w:pPr>
        <w:pStyle w:val="1"/>
        <w:numPr>
          <w:ilvl w:val="0"/>
          <w:numId w:val="4"/>
        </w:numPr>
        <w:rPr>
          <w:lang w:eastAsia="ja-JP"/>
        </w:rPr>
      </w:pPr>
      <w:r>
        <w:rPr>
          <w:rFonts w:hint="eastAsia"/>
          <w:lang w:eastAsia="ja-JP"/>
        </w:rPr>
        <w:t>Introduction</w:t>
      </w:r>
    </w:p>
    <w:p w14:paraId="5FAAE437" w14:textId="73113470" w:rsidR="003B73B5" w:rsidRDefault="003B73B5" w:rsidP="003B73B5">
      <w:pPr>
        <w:rPr>
          <w:lang w:val="sv-SE"/>
        </w:rPr>
      </w:pPr>
      <w:r>
        <w:rPr>
          <w:rFonts w:hint="eastAsia"/>
          <w:lang w:val="sv-SE"/>
        </w:rPr>
        <w:t>R</w:t>
      </w:r>
      <w:r>
        <w:rPr>
          <w:lang w:val="sv-SE"/>
        </w:rPr>
        <w:t>el-19 NTN agreed to introduce HPUE for NR-NTN</w:t>
      </w:r>
      <w:r w:rsidR="003D5CCE">
        <w:rPr>
          <w:lang w:val="sv-SE"/>
        </w:rPr>
        <w:t xml:space="preserve">/Iot-NTN operation: </w:t>
      </w:r>
    </w:p>
    <w:tbl>
      <w:tblPr>
        <w:tblStyle w:val="afd"/>
        <w:tblW w:w="0" w:type="auto"/>
        <w:tblLook w:val="04A0" w:firstRow="1" w:lastRow="0" w:firstColumn="1" w:lastColumn="0" w:noHBand="0" w:noVBand="1"/>
      </w:tblPr>
      <w:tblGrid>
        <w:gridCol w:w="9631"/>
      </w:tblGrid>
      <w:tr w:rsidR="004A311B" w14:paraId="5380D0C1" w14:textId="77777777" w:rsidTr="004A311B">
        <w:tc>
          <w:tcPr>
            <w:tcW w:w="9631" w:type="dxa"/>
          </w:tcPr>
          <w:p w14:paraId="1F1F3CF5" w14:textId="77777777" w:rsidR="004A311B" w:rsidRDefault="004A311B" w:rsidP="004A311B">
            <w:r>
              <w:rPr>
                <w:rFonts w:hint="eastAsia"/>
                <w:b/>
              </w:rPr>
              <w:t>High power UE (HPUE) for NTN</w:t>
            </w:r>
          </w:p>
          <w:p w14:paraId="0C724D43" w14:textId="77777777" w:rsidR="004A311B" w:rsidRDefault="004A311B" w:rsidP="004A311B">
            <w:pPr>
              <w:pStyle w:val="aff6"/>
              <w:numPr>
                <w:ilvl w:val="0"/>
                <w:numId w:val="28"/>
              </w:numPr>
              <w:overflowPunct/>
              <w:autoSpaceDE/>
              <w:autoSpaceDN/>
              <w:adjustRightInd/>
              <w:ind w:firstLineChars="0"/>
              <w:textAlignment w:val="auto"/>
            </w:pPr>
            <w:r>
              <w:t>Conduct the coexistence analysis based on TR 38.863 for the above example bands and corresponding power classes</w:t>
            </w:r>
          </w:p>
          <w:p w14:paraId="180ACE0C" w14:textId="77777777" w:rsidR="004A311B" w:rsidRDefault="004A311B" w:rsidP="004A311B">
            <w:pPr>
              <w:pStyle w:val="aff6"/>
              <w:numPr>
                <w:ilvl w:val="1"/>
                <w:numId w:val="28"/>
              </w:numPr>
              <w:overflowPunct/>
              <w:autoSpaceDE/>
              <w:autoSpaceDN/>
              <w:adjustRightInd/>
              <w:ind w:firstLineChars="0"/>
              <w:textAlignment w:val="auto"/>
            </w:pPr>
            <w:r>
              <w:t>Evaluate the impact on the uplink performance of TN (Terrestrial network)</w:t>
            </w:r>
          </w:p>
          <w:p w14:paraId="718F5981" w14:textId="77777777" w:rsidR="004A311B" w:rsidRDefault="004A311B" w:rsidP="004A311B">
            <w:pPr>
              <w:pStyle w:val="aff6"/>
              <w:numPr>
                <w:ilvl w:val="2"/>
                <w:numId w:val="28"/>
              </w:numPr>
              <w:overflowPunct/>
              <w:autoSpaceDE/>
              <w:autoSpaceDN/>
              <w:adjustRightInd/>
              <w:ind w:firstLineChars="0"/>
              <w:textAlignment w:val="auto"/>
            </w:pPr>
            <w:r>
              <w:t>Example bands include bands n256 and 256, n255 and 255</w:t>
            </w:r>
          </w:p>
          <w:p w14:paraId="23699E14" w14:textId="77777777" w:rsidR="004A311B" w:rsidRDefault="004A311B" w:rsidP="004A311B">
            <w:pPr>
              <w:pStyle w:val="aff6"/>
              <w:numPr>
                <w:ilvl w:val="2"/>
                <w:numId w:val="28"/>
              </w:numPr>
              <w:overflowPunct/>
              <w:autoSpaceDE/>
              <w:autoSpaceDN/>
              <w:adjustRightInd/>
              <w:ind w:firstLineChars="0"/>
              <w:textAlignment w:val="auto"/>
            </w:pPr>
            <w:r>
              <w:t>PC2, PC1.5 (for NR-NTN only) and PC1 will be evaluated for ACLR and ACS</w:t>
            </w:r>
          </w:p>
          <w:p w14:paraId="25E2349E" w14:textId="77777777" w:rsidR="004A311B" w:rsidRDefault="004A311B" w:rsidP="004A311B">
            <w:pPr>
              <w:pStyle w:val="aff6"/>
              <w:numPr>
                <w:ilvl w:val="2"/>
                <w:numId w:val="28"/>
              </w:numPr>
              <w:overflowPunct/>
              <w:autoSpaceDE/>
              <w:autoSpaceDN/>
              <w:adjustRightInd/>
              <w:ind w:firstLineChars="0"/>
              <w:textAlignment w:val="auto"/>
            </w:pPr>
            <w:r>
              <w:t>For NR-NTN and IoT-NTN: coexistence studies shall be carried out under the same conditions, including geographical separation between NTN UE and Terrestrial Networks (TN), as the co-existence studies in Rel-17 and Rel-18</w:t>
            </w:r>
          </w:p>
          <w:p w14:paraId="72095295" w14:textId="77777777" w:rsidR="004A311B" w:rsidRDefault="004A311B" w:rsidP="004A311B">
            <w:pPr>
              <w:pStyle w:val="aff6"/>
              <w:numPr>
                <w:ilvl w:val="0"/>
                <w:numId w:val="28"/>
              </w:numPr>
              <w:overflowPunct/>
              <w:autoSpaceDE/>
              <w:autoSpaceDN/>
              <w:adjustRightInd/>
              <w:ind w:firstLineChars="0"/>
              <w:textAlignment w:val="auto"/>
            </w:pPr>
            <w:r>
              <w:t>Specify high power UE (HPUE) for NR-NTN (Non-Terrestrial Networks) and IoT-NTN (NB-IoT and eMTC based NTN) in FR1-NTN bands and the corresponding LTE NTN bands for the single uplink (UL) carrier scenario</w:t>
            </w:r>
          </w:p>
          <w:p w14:paraId="6AB21F61" w14:textId="77777777" w:rsidR="004A311B" w:rsidRDefault="004A311B" w:rsidP="004A311B">
            <w:pPr>
              <w:pStyle w:val="aff6"/>
              <w:numPr>
                <w:ilvl w:val="1"/>
                <w:numId w:val="28"/>
              </w:numPr>
              <w:overflowPunct/>
              <w:autoSpaceDE/>
              <w:autoSpaceDN/>
              <w:adjustRightInd/>
              <w:ind w:firstLineChars="0"/>
              <w:textAlignment w:val="auto"/>
            </w:pPr>
            <w:r>
              <w:t>Support UE with power class 2 (PC2, 26 dBm) that applies to both handheld and non-handheld based on the co-existence study.</w:t>
            </w:r>
          </w:p>
          <w:p w14:paraId="4E6AB2D1" w14:textId="77777777" w:rsidR="004A311B" w:rsidRDefault="004A311B" w:rsidP="004A311B">
            <w:pPr>
              <w:pStyle w:val="aff6"/>
              <w:numPr>
                <w:ilvl w:val="1"/>
                <w:numId w:val="28"/>
              </w:numPr>
              <w:overflowPunct/>
              <w:autoSpaceDE/>
              <w:autoSpaceDN/>
              <w:adjustRightInd/>
              <w:ind w:firstLineChars="0"/>
              <w:textAlignment w:val="auto"/>
            </w:pPr>
            <w:r>
              <w:t>Support other power classes based on the co-existence and feasibility study</w:t>
            </w:r>
          </w:p>
          <w:p w14:paraId="6E5AC8F3" w14:textId="77777777" w:rsidR="004A311B" w:rsidRDefault="004A311B" w:rsidP="004A311B">
            <w:pPr>
              <w:pStyle w:val="aff6"/>
              <w:numPr>
                <w:ilvl w:val="2"/>
                <w:numId w:val="28"/>
              </w:numPr>
              <w:overflowPunct/>
              <w:autoSpaceDE/>
              <w:autoSpaceDN/>
              <w:adjustRightInd/>
              <w:ind w:firstLineChars="0"/>
              <w:textAlignment w:val="auto"/>
            </w:pPr>
            <w:r>
              <w:t>Non-</w:t>
            </w:r>
            <w:proofErr w:type="gramStart"/>
            <w:r>
              <w:t>hand held</w:t>
            </w:r>
            <w:proofErr w:type="gramEnd"/>
            <w:r>
              <w:t xml:space="preserve"> UE is prioritized</w:t>
            </w:r>
          </w:p>
          <w:p w14:paraId="2BDC07FE" w14:textId="77777777" w:rsidR="004A311B" w:rsidRDefault="004A311B" w:rsidP="004A311B">
            <w:pPr>
              <w:pStyle w:val="aff6"/>
              <w:numPr>
                <w:ilvl w:val="1"/>
                <w:numId w:val="28"/>
              </w:numPr>
              <w:overflowPunct/>
              <w:autoSpaceDE/>
              <w:autoSpaceDN/>
              <w:adjustRightInd/>
              <w:ind w:firstLineChars="0"/>
              <w:textAlignment w:val="auto"/>
            </w:pPr>
            <w:r>
              <w:t>Specify RF requirements for all considered power classes for NR-NTN and IoT-NTN in FR1-NTN bands and the corresponding LTE NTN bands</w:t>
            </w:r>
          </w:p>
          <w:p w14:paraId="332B5C89" w14:textId="77777777" w:rsidR="004A311B" w:rsidRDefault="004A311B" w:rsidP="004A311B">
            <w:pPr>
              <w:pStyle w:val="aff6"/>
              <w:numPr>
                <w:ilvl w:val="2"/>
                <w:numId w:val="28"/>
              </w:numPr>
              <w:overflowPunct/>
              <w:autoSpaceDE/>
              <w:autoSpaceDN/>
              <w:adjustRightInd/>
              <w:ind w:firstLineChars="0"/>
              <w:textAlignment w:val="auto"/>
            </w:pPr>
            <w:r>
              <w:t>Necessary Tx requirements, at least including</w:t>
            </w:r>
          </w:p>
          <w:p w14:paraId="2189D5A1" w14:textId="77777777" w:rsidR="004A311B" w:rsidRDefault="004A311B" w:rsidP="004A311B">
            <w:pPr>
              <w:pStyle w:val="aff6"/>
              <w:numPr>
                <w:ilvl w:val="3"/>
                <w:numId w:val="28"/>
              </w:numPr>
              <w:overflowPunct/>
              <w:autoSpaceDE/>
              <w:autoSpaceDN/>
              <w:adjustRightInd/>
              <w:ind w:firstLineChars="0"/>
              <w:textAlignment w:val="auto"/>
            </w:pPr>
            <w:r>
              <w:t>Investigate and if necessary, specify the solution to address potential SAR (Specific Absorption Rate restriction) requirements for handheld UE</w:t>
            </w:r>
          </w:p>
          <w:p w14:paraId="3FD53D82" w14:textId="77777777" w:rsidR="004A311B" w:rsidRDefault="004A311B" w:rsidP="004A311B">
            <w:pPr>
              <w:pStyle w:val="aff6"/>
              <w:numPr>
                <w:ilvl w:val="3"/>
                <w:numId w:val="28"/>
              </w:numPr>
              <w:overflowPunct/>
              <w:autoSpaceDE/>
              <w:autoSpaceDN/>
              <w:adjustRightInd/>
              <w:ind w:firstLineChars="0"/>
              <w:textAlignment w:val="auto"/>
            </w:pPr>
            <w:r>
              <w:t>Specify MPR and A-MPR for the example bands considering the regulation for the corresponding bands, if necessary</w:t>
            </w:r>
          </w:p>
          <w:p w14:paraId="72A56AA8" w14:textId="77777777" w:rsidR="004A311B" w:rsidRDefault="004A311B" w:rsidP="004A311B">
            <w:pPr>
              <w:pStyle w:val="aff6"/>
              <w:numPr>
                <w:ilvl w:val="2"/>
                <w:numId w:val="28"/>
              </w:numPr>
              <w:overflowPunct/>
              <w:autoSpaceDE/>
              <w:autoSpaceDN/>
              <w:adjustRightInd/>
              <w:ind w:firstLineChars="0"/>
              <w:textAlignment w:val="auto"/>
            </w:pPr>
            <w:r>
              <w:t>Necessary Rx requirements, at least including</w:t>
            </w:r>
          </w:p>
          <w:p w14:paraId="4EF9A558" w14:textId="77777777" w:rsidR="004A311B" w:rsidRDefault="004A311B" w:rsidP="004A311B">
            <w:pPr>
              <w:pStyle w:val="aff6"/>
              <w:numPr>
                <w:ilvl w:val="3"/>
                <w:numId w:val="28"/>
              </w:numPr>
              <w:overflowPunct/>
              <w:autoSpaceDE/>
              <w:autoSpaceDN/>
              <w:adjustRightInd/>
              <w:ind w:firstLineChars="0"/>
              <w:textAlignment w:val="auto"/>
            </w:pPr>
            <w:r>
              <w:t>Specify the RSD requirements on the example bands, if necessary</w:t>
            </w:r>
          </w:p>
          <w:p w14:paraId="29238A63" w14:textId="627EA7A1" w:rsidR="004A311B" w:rsidRPr="004A311B" w:rsidRDefault="004A311B" w:rsidP="004A311B">
            <w:pPr>
              <w:pStyle w:val="aff6"/>
              <w:numPr>
                <w:ilvl w:val="0"/>
                <w:numId w:val="28"/>
              </w:numPr>
              <w:overflowPunct/>
              <w:autoSpaceDE/>
              <w:autoSpaceDN/>
              <w:adjustRightInd/>
              <w:ind w:firstLineChars="0"/>
              <w:textAlignment w:val="auto"/>
            </w:pPr>
            <w:r>
              <w:t>Specify the necessary signaling to support the above objectives</w:t>
            </w:r>
          </w:p>
        </w:tc>
      </w:tr>
    </w:tbl>
    <w:p w14:paraId="497F395E" w14:textId="77777777" w:rsidR="004A311B" w:rsidRDefault="004A311B" w:rsidP="003B73B5">
      <w:pPr>
        <w:rPr>
          <w:lang w:val="sv-SE"/>
        </w:rPr>
      </w:pPr>
    </w:p>
    <w:p w14:paraId="424456AF" w14:textId="1456A4DB" w:rsidR="004E33B5" w:rsidRPr="005E1368" w:rsidRDefault="004E33B5" w:rsidP="005E1368">
      <w:pPr>
        <w:rPr>
          <w:lang w:val="sv-SE"/>
        </w:rPr>
      </w:pPr>
      <w:r>
        <w:rPr>
          <w:rFonts w:hint="eastAsia"/>
          <w:lang w:val="sv-SE"/>
        </w:rPr>
        <w:t>I</w:t>
      </w:r>
      <w:r>
        <w:rPr>
          <w:lang w:val="sv-SE"/>
        </w:rPr>
        <w:t>n this contribution, views on remaining open issues were provi</w:t>
      </w:r>
      <w:r w:rsidRPr="003B73B5">
        <w:rPr>
          <w:szCs w:val="21"/>
          <w:lang w:val="sv-SE"/>
        </w:rPr>
        <w:t xml:space="preserve">ded. </w:t>
      </w:r>
    </w:p>
    <w:p w14:paraId="5E28CDC0" w14:textId="23DFABE7" w:rsidR="00771728" w:rsidRDefault="0062292E" w:rsidP="00F05C38">
      <w:pPr>
        <w:pStyle w:val="1"/>
        <w:numPr>
          <w:ilvl w:val="0"/>
          <w:numId w:val="4"/>
        </w:numPr>
        <w:rPr>
          <w:lang w:val="en-GB" w:eastAsia="ja-JP"/>
        </w:rPr>
      </w:pPr>
      <w:r>
        <w:rPr>
          <w:lang w:val="en-GB" w:eastAsia="ja-JP"/>
        </w:rPr>
        <w:lastRenderedPageBreak/>
        <w:t>Discussion</w:t>
      </w:r>
    </w:p>
    <w:p w14:paraId="56D28393" w14:textId="3526690A" w:rsidR="00C74205" w:rsidRDefault="00C74205" w:rsidP="00C74205">
      <w:pPr>
        <w:rPr>
          <w:b/>
          <w:bCs/>
        </w:rPr>
      </w:pPr>
      <w:r w:rsidRPr="00C74205">
        <w:rPr>
          <w:rFonts w:hint="eastAsia"/>
          <w:b/>
          <w:bCs/>
        </w:rPr>
        <w:t>A</w:t>
      </w:r>
      <w:r w:rsidRPr="00C74205">
        <w:rPr>
          <w:b/>
          <w:bCs/>
        </w:rPr>
        <w:t>CLR requirements</w:t>
      </w:r>
    </w:p>
    <w:p w14:paraId="46A73B34" w14:textId="056F8C02" w:rsidR="00C74205" w:rsidRDefault="00C74205" w:rsidP="00C74205">
      <w:r>
        <w:t>I</w:t>
      </w:r>
      <w:r>
        <w:rPr>
          <w:rFonts w:hint="eastAsia"/>
        </w:rPr>
        <w:t>n</w:t>
      </w:r>
      <w:r>
        <w:t xml:space="preserve"> </w:t>
      </w:r>
      <w:r>
        <w:rPr>
          <w:rFonts w:hint="eastAsia"/>
        </w:rPr>
        <w:t>last</w:t>
      </w:r>
      <w:r>
        <w:t xml:space="preserve"> </w:t>
      </w:r>
      <w:r>
        <w:rPr>
          <w:rFonts w:hint="eastAsia"/>
        </w:rPr>
        <w:t>RAN</w:t>
      </w:r>
      <w:r>
        <w:t xml:space="preserve">4 </w:t>
      </w:r>
      <w:r>
        <w:rPr>
          <w:rFonts w:hint="eastAsia"/>
        </w:rPr>
        <w:t>meeting</w:t>
      </w:r>
      <w:r>
        <w:t>, initial conclusion</w:t>
      </w:r>
      <w:r w:rsidR="00335E88">
        <w:t xml:space="preserve"> was</w:t>
      </w:r>
      <w:r>
        <w:t xml:space="preserve"> reached for co-existence study as following:</w:t>
      </w:r>
    </w:p>
    <w:tbl>
      <w:tblPr>
        <w:tblStyle w:val="afd"/>
        <w:tblW w:w="0" w:type="auto"/>
        <w:tblLook w:val="04A0" w:firstRow="1" w:lastRow="0" w:firstColumn="1" w:lastColumn="0" w:noHBand="0" w:noVBand="1"/>
      </w:tblPr>
      <w:tblGrid>
        <w:gridCol w:w="9631"/>
      </w:tblGrid>
      <w:tr w:rsidR="00C74205" w14:paraId="5172FD2A" w14:textId="77777777" w:rsidTr="00C74205">
        <w:tc>
          <w:tcPr>
            <w:tcW w:w="9631" w:type="dxa"/>
          </w:tcPr>
          <w:p w14:paraId="3DCE4578" w14:textId="77777777" w:rsidR="000F2C66" w:rsidRPr="000F2C66" w:rsidRDefault="000F2C66" w:rsidP="000F2C66">
            <w:pPr>
              <w:rPr>
                <w:b/>
                <w:u w:val="single"/>
                <w:lang w:eastAsia="ko-KR"/>
              </w:rPr>
            </w:pPr>
            <w:r w:rsidRPr="000F2C66">
              <w:rPr>
                <w:b/>
                <w:u w:val="single"/>
                <w:lang w:eastAsia="ko-KR"/>
              </w:rPr>
              <w:t>Issue 1-1</w:t>
            </w:r>
            <w:r w:rsidRPr="000F2C66">
              <w:rPr>
                <w:rFonts w:hint="eastAsia"/>
                <w:b/>
                <w:u w:val="single"/>
                <w:lang w:eastAsia="zh-CN"/>
              </w:rPr>
              <w:t>-</w:t>
            </w:r>
            <w:r w:rsidRPr="000F2C66">
              <w:rPr>
                <w:b/>
                <w:u w:val="single"/>
                <w:lang w:eastAsia="zh-CN"/>
              </w:rPr>
              <w:t>6</w:t>
            </w:r>
            <w:r w:rsidRPr="000F2C66">
              <w:rPr>
                <w:b/>
                <w:u w:val="single"/>
                <w:lang w:eastAsia="ko-KR"/>
              </w:rPr>
              <w:t>: ACLR for eMTC based Iot-NTN for PC1;</w:t>
            </w:r>
          </w:p>
          <w:p w14:paraId="2D4BF20C" w14:textId="77777777" w:rsidR="000F2C66" w:rsidRPr="000F2C66" w:rsidRDefault="000F2C66" w:rsidP="000F2C66">
            <w:pPr>
              <w:pStyle w:val="aff6"/>
              <w:numPr>
                <w:ilvl w:val="0"/>
                <w:numId w:val="15"/>
              </w:numPr>
              <w:overflowPunct/>
              <w:autoSpaceDE/>
              <w:autoSpaceDN/>
              <w:adjustRightInd/>
              <w:spacing w:after="120" w:line="240" w:lineRule="auto"/>
              <w:ind w:left="720" w:firstLineChars="0"/>
              <w:jc w:val="left"/>
              <w:textAlignment w:val="auto"/>
              <w:rPr>
                <w:rFonts w:eastAsia="宋体"/>
                <w:lang w:eastAsia="zh-CN"/>
              </w:rPr>
            </w:pPr>
            <w:r w:rsidRPr="000F2C66">
              <w:rPr>
                <w:rFonts w:eastAsia="宋体"/>
                <w:lang w:eastAsia="zh-CN"/>
              </w:rPr>
              <w:t>Agreement:</w:t>
            </w:r>
          </w:p>
          <w:p w14:paraId="2147902E" w14:textId="4C6A1B4B" w:rsidR="00C74205" w:rsidRPr="000F2C66" w:rsidRDefault="000F2C66" w:rsidP="000F2C66">
            <w:pPr>
              <w:pStyle w:val="aff6"/>
              <w:numPr>
                <w:ilvl w:val="1"/>
                <w:numId w:val="15"/>
              </w:numPr>
              <w:overflowPunct/>
              <w:autoSpaceDE/>
              <w:autoSpaceDN/>
              <w:adjustRightInd/>
              <w:spacing w:after="120" w:line="240" w:lineRule="auto"/>
              <w:ind w:left="1440" w:firstLineChars="0" w:hanging="360"/>
              <w:jc w:val="left"/>
              <w:textAlignment w:val="auto"/>
              <w:rPr>
                <w:rFonts w:eastAsia="宋体"/>
                <w:szCs w:val="24"/>
                <w:lang w:eastAsia="zh-CN"/>
              </w:rPr>
            </w:pPr>
            <w:r w:rsidRPr="000F2C66">
              <w:rPr>
                <w:rFonts w:eastAsia="宋体"/>
                <w:szCs w:val="24"/>
                <w:lang w:eastAsia="zh-CN"/>
              </w:rPr>
              <w:t>[34dB]</w:t>
            </w:r>
          </w:p>
        </w:tc>
      </w:tr>
    </w:tbl>
    <w:p w14:paraId="5E572B3C" w14:textId="77777777" w:rsidR="003E3AAD" w:rsidRDefault="003E3AAD" w:rsidP="00C74205"/>
    <w:p w14:paraId="3DC48129" w14:textId="5122730A" w:rsidR="00C74205" w:rsidRDefault="00C74205" w:rsidP="00C74205">
      <w:bookmarkStart w:id="0" w:name="OLE_LINK1"/>
      <w:r>
        <w:rPr>
          <w:rFonts w:hint="eastAsia"/>
        </w:rPr>
        <w:t>O</w:t>
      </w:r>
      <w:r>
        <w:t>n isolation distance, we prefer to align with previous assumption the deployment scenario and restriction shall be c</w:t>
      </w:r>
      <w:r w:rsidRPr="00C74205">
        <w:t>onsistency</w:t>
      </w:r>
      <w:r>
        <w:t xml:space="preserve"> independent to device power classes which belongs to UE capability.</w:t>
      </w:r>
    </w:p>
    <w:p w14:paraId="5726DBED" w14:textId="727D1891" w:rsidR="00C74205" w:rsidRDefault="00F67874" w:rsidP="00C74205">
      <w:r>
        <w:t xml:space="preserve">On NTN operation, the critical issue is coverage due to long distance between satellite over the space to terminal. With reasonable ACLR, it will bring benefits to improve uplink coverage with less MPR and or A-MPR. </w:t>
      </w:r>
    </w:p>
    <w:p w14:paraId="3C948BC3" w14:textId="3F51276B" w:rsidR="000F2C66" w:rsidRDefault="002826EC" w:rsidP="00C74205">
      <w:pPr>
        <w:rPr>
          <w:lang w:eastAsia="zh-CN"/>
        </w:rPr>
      </w:pPr>
      <w:r>
        <w:rPr>
          <w:rFonts w:hint="eastAsia"/>
          <w:lang w:eastAsia="zh-CN"/>
        </w:rPr>
        <w:t>During</w:t>
      </w:r>
      <w:r>
        <w:rPr>
          <w:lang w:eastAsia="zh-CN"/>
        </w:rPr>
        <w:t xml:space="preserve"> </w:t>
      </w:r>
      <w:r>
        <w:rPr>
          <w:rFonts w:hint="eastAsia"/>
          <w:lang w:eastAsia="zh-CN"/>
        </w:rPr>
        <w:t>t</w:t>
      </w:r>
      <w:r>
        <w:rPr>
          <w:lang w:eastAsia="zh-CN"/>
        </w:rPr>
        <w:t xml:space="preserve">he RAN4#115 </w:t>
      </w:r>
      <w:r>
        <w:rPr>
          <w:rFonts w:hint="eastAsia"/>
          <w:lang w:eastAsia="zh-CN"/>
        </w:rPr>
        <w:t>meeting,</w:t>
      </w:r>
      <w:r>
        <w:rPr>
          <w:lang w:eastAsia="zh-CN"/>
        </w:rPr>
        <w:t xml:space="preserve"> ACLR value for </w:t>
      </w:r>
      <w:r w:rsidRPr="002826EC">
        <w:rPr>
          <w:lang w:eastAsia="zh-CN"/>
        </w:rPr>
        <w:t>PC1 eMTC based Iot-NTN HPUE</w:t>
      </w:r>
      <w:r>
        <w:rPr>
          <w:lang w:eastAsia="zh-CN"/>
        </w:rPr>
        <w:t xml:space="preserve"> has been fully discussed by the meeting. A comprise value 34dB ACLR agreed by most of the comp</w:t>
      </w:r>
      <w:r w:rsidR="000F2C66">
        <w:rPr>
          <w:lang w:eastAsia="zh-CN"/>
        </w:rPr>
        <w:t>anies.</w:t>
      </w:r>
    </w:p>
    <w:p w14:paraId="33071351" w14:textId="67760D98" w:rsidR="00F67874" w:rsidRDefault="00F67874" w:rsidP="00C74205">
      <w:r>
        <w:t>Based on above consideration, we suggest to specify following ACLR values</w:t>
      </w:r>
      <w:r>
        <w:rPr>
          <w:rFonts w:hint="eastAsia"/>
        </w:rPr>
        <w:t>:</w:t>
      </w:r>
    </w:p>
    <w:bookmarkEnd w:id="0"/>
    <w:p w14:paraId="53B20A34" w14:textId="30561C01" w:rsidR="00F67874" w:rsidRPr="00E713C0" w:rsidRDefault="00F67874" w:rsidP="00C74205">
      <w:pPr>
        <w:rPr>
          <w:b/>
          <w:bCs/>
        </w:rPr>
      </w:pPr>
      <w:r w:rsidRPr="00E713C0">
        <w:rPr>
          <w:rFonts w:hint="eastAsia"/>
          <w:b/>
          <w:bCs/>
        </w:rPr>
        <w:t>P</w:t>
      </w:r>
      <w:r w:rsidRPr="00E713C0">
        <w:rPr>
          <w:b/>
          <w:bCs/>
        </w:rPr>
        <w:t>roposal 1:</w:t>
      </w:r>
      <w:r w:rsidR="00E713C0" w:rsidRPr="00E713C0">
        <w:rPr>
          <w:b/>
          <w:bCs/>
        </w:rPr>
        <w:t xml:space="preserve"> For PC1</w:t>
      </w:r>
      <w:r w:rsidRPr="00E713C0">
        <w:rPr>
          <w:b/>
          <w:bCs/>
        </w:rPr>
        <w:t xml:space="preserve"> </w:t>
      </w:r>
      <w:r w:rsidR="00265179" w:rsidRPr="00E713C0">
        <w:rPr>
          <w:b/>
          <w:lang w:eastAsia="ko-KR"/>
        </w:rPr>
        <w:t>eMTC based Iot-NTN HPUE</w:t>
      </w:r>
      <w:r w:rsidR="003D5CCE" w:rsidRPr="00E713C0">
        <w:rPr>
          <w:b/>
          <w:bCs/>
        </w:rPr>
        <w:t xml:space="preserve"> ACLR</w:t>
      </w:r>
      <w:r w:rsidR="00E713C0" w:rsidRPr="00E713C0">
        <w:rPr>
          <w:b/>
          <w:bCs/>
        </w:rPr>
        <w:t xml:space="preserve"> can be determine as 3</w:t>
      </w:r>
      <w:r w:rsidR="002826EC">
        <w:rPr>
          <w:b/>
          <w:bCs/>
        </w:rPr>
        <w:t>4</w:t>
      </w:r>
      <w:r w:rsidR="00E713C0" w:rsidRPr="00E713C0">
        <w:rPr>
          <w:b/>
          <w:bCs/>
        </w:rPr>
        <w:t>dB</w:t>
      </w:r>
      <w:r w:rsidR="00E713C0" w:rsidRPr="00E713C0">
        <w:rPr>
          <w:rFonts w:hint="eastAsia"/>
          <w:b/>
          <w:bCs/>
          <w:lang w:eastAsia="zh-CN"/>
        </w:rPr>
        <w:t>c</w:t>
      </w:r>
    </w:p>
    <w:p w14:paraId="294CBA60" w14:textId="22F14243" w:rsidR="003E3AAD" w:rsidRDefault="003E3AAD" w:rsidP="004C069C">
      <w:pPr>
        <w:rPr>
          <w:b/>
          <w:bCs/>
          <w:lang w:eastAsia="zh-CN"/>
        </w:rPr>
      </w:pPr>
    </w:p>
    <w:p w14:paraId="291FBC3B" w14:textId="0EE0D728" w:rsidR="00F916C1" w:rsidRPr="00F916C1" w:rsidRDefault="00F916C1" w:rsidP="00F916C1">
      <w:pPr>
        <w:rPr>
          <w:rFonts w:eastAsiaTheme="minorEastAsia"/>
          <w:lang w:eastAsia="zh-CN"/>
        </w:rPr>
      </w:pPr>
      <w:r w:rsidRPr="00F916C1">
        <w:rPr>
          <w:rFonts w:eastAsiaTheme="minorEastAsia"/>
          <w:lang w:eastAsia="zh-CN"/>
        </w:rPr>
        <w:t>In TS 36.101, P-MPR isn't exclusive to handheld UEs. It's a power management mechanism ensuring the UE's transmit power meets electromagnetic radiation safety and regulations across various scenarios.</w:t>
      </w:r>
    </w:p>
    <w:p w14:paraId="12D8E3B4" w14:textId="26A6D969" w:rsidR="00F916C1" w:rsidRPr="00F916C1" w:rsidRDefault="00F916C1" w:rsidP="00F916C1">
      <w:pPr>
        <w:rPr>
          <w:rFonts w:eastAsiaTheme="minorEastAsia"/>
          <w:lang w:eastAsia="zh-CN"/>
        </w:rPr>
      </w:pPr>
      <w:r w:rsidRPr="00F916C1">
        <w:rPr>
          <w:rFonts w:eastAsiaTheme="minorEastAsia"/>
          <w:lang w:eastAsia="zh-CN"/>
        </w:rPr>
        <w:t>While P-MPR is common in handheld devices, especially when users hold them close to their heads or bodies</w:t>
      </w:r>
      <w:r w:rsidR="00E1600F">
        <w:rPr>
          <w:rFonts w:eastAsiaTheme="minorEastAsia"/>
          <w:lang w:eastAsia="zh-CN"/>
        </w:rPr>
        <w:t xml:space="preserve"> due to SAR issue</w:t>
      </w:r>
      <w:r w:rsidRPr="00F916C1">
        <w:rPr>
          <w:rFonts w:eastAsiaTheme="minorEastAsia"/>
          <w:lang w:eastAsia="zh-CN"/>
        </w:rPr>
        <w:t>, it also applies to other UE types</w:t>
      </w:r>
      <w:r>
        <w:rPr>
          <w:rFonts w:eastAsiaTheme="minorEastAsia"/>
          <w:lang w:eastAsia="zh-CN"/>
        </w:rPr>
        <w:t xml:space="preserve"> </w:t>
      </w:r>
      <w:r>
        <w:rPr>
          <w:rFonts w:eastAsiaTheme="minorEastAsia" w:hint="eastAsia"/>
          <w:lang w:eastAsia="zh-CN"/>
        </w:rPr>
        <w:t>like</w:t>
      </w:r>
      <w:r>
        <w:rPr>
          <w:rFonts w:eastAsiaTheme="minorEastAsia"/>
          <w:lang w:eastAsia="zh-CN"/>
        </w:rPr>
        <w:t xml:space="preserve"> </w:t>
      </w:r>
      <w:r w:rsidRPr="00F916C1">
        <w:rPr>
          <w:rFonts w:eastAsiaTheme="minorEastAsia"/>
          <w:lang w:eastAsia="zh-CN"/>
        </w:rPr>
        <w:t>Vehicle-mounted UEs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sidRPr="00F916C1">
        <w:rPr>
          <w:rFonts w:eastAsiaTheme="minorEastAsia"/>
          <w:lang w:eastAsia="zh-CN"/>
        </w:rPr>
        <w:t>Fixed-installed UEs</w:t>
      </w:r>
      <w:r>
        <w:rPr>
          <w:rFonts w:eastAsiaTheme="minorEastAsia" w:hint="eastAsia"/>
          <w:lang w:eastAsia="zh-CN"/>
        </w:rPr>
        <w:t>.</w:t>
      </w:r>
      <w:r w:rsidRPr="00F916C1">
        <w:rPr>
          <w:rFonts w:eastAsiaTheme="minorEastAsia"/>
          <w:lang w:eastAsia="zh-CN"/>
        </w:rPr>
        <w:t xml:space="preserve"> </w:t>
      </w:r>
    </w:p>
    <w:p w14:paraId="2A87A6F8" w14:textId="69EF516E" w:rsidR="007464E1" w:rsidRDefault="00F916C1" w:rsidP="00F916C1">
      <w:pPr>
        <w:rPr>
          <w:rFonts w:eastAsiaTheme="minorEastAsia"/>
          <w:lang w:eastAsia="zh-CN"/>
        </w:rPr>
      </w:pPr>
      <w:r w:rsidRPr="00F916C1">
        <w:rPr>
          <w:rFonts w:eastAsiaTheme="minorEastAsia"/>
          <w:lang w:eastAsia="zh-CN"/>
        </w:rPr>
        <w:t xml:space="preserve">Thus, P-MPR is a general power management parameter for various UE devices, not just handheld ones. </w:t>
      </w:r>
      <w:r w:rsidR="00A13FFE">
        <w:rPr>
          <w:rFonts w:eastAsiaTheme="minorEastAsia"/>
          <w:lang w:eastAsia="zh-CN"/>
        </w:rPr>
        <w:t xml:space="preserve"> </w:t>
      </w:r>
    </w:p>
    <w:p w14:paraId="1D13E352" w14:textId="35ECF22E" w:rsidR="00E1600F" w:rsidRDefault="00E1600F" w:rsidP="00F916C1">
      <w:pPr>
        <w:rPr>
          <w:rFonts w:eastAsiaTheme="minorEastAsia"/>
          <w:b/>
          <w:bCs/>
          <w:lang w:eastAsia="zh-CN"/>
        </w:rPr>
      </w:pPr>
      <w:r w:rsidRPr="00C51546">
        <w:rPr>
          <w:rFonts w:eastAsiaTheme="minorEastAsia" w:hint="eastAsia"/>
          <w:b/>
          <w:bCs/>
          <w:lang w:eastAsia="zh-CN"/>
        </w:rPr>
        <w:t>P</w:t>
      </w:r>
      <w:r w:rsidRPr="00C51546">
        <w:rPr>
          <w:rFonts w:eastAsiaTheme="minorEastAsia"/>
          <w:b/>
          <w:bCs/>
          <w:lang w:eastAsia="zh-CN"/>
        </w:rPr>
        <w:t xml:space="preserve">roposal </w:t>
      </w:r>
      <w:r w:rsidR="00B54E52">
        <w:rPr>
          <w:rFonts w:eastAsiaTheme="minorEastAsia"/>
          <w:b/>
          <w:bCs/>
          <w:lang w:eastAsia="zh-CN"/>
        </w:rPr>
        <w:t>2</w:t>
      </w:r>
      <w:r w:rsidRPr="00C51546">
        <w:rPr>
          <w:rFonts w:eastAsiaTheme="minorEastAsia"/>
          <w:b/>
          <w:bCs/>
          <w:lang w:eastAsia="zh-CN"/>
        </w:rPr>
        <w:t>: RAN4 should consider P-MPR for both handheld UEs and non-handheld UEs</w:t>
      </w:r>
      <w:r w:rsidR="002826EC">
        <w:rPr>
          <w:rFonts w:eastAsiaTheme="minorEastAsia"/>
          <w:b/>
          <w:bCs/>
          <w:lang w:eastAsia="zh-CN"/>
        </w:rPr>
        <w:t>.</w:t>
      </w:r>
    </w:p>
    <w:p w14:paraId="504087F3" w14:textId="792845D7" w:rsidR="00B54E52" w:rsidRPr="00F14CE7" w:rsidRDefault="00B54E52" w:rsidP="009D27F8">
      <w:pPr>
        <w:rPr>
          <w:b/>
          <w:bCs/>
          <w:lang w:eastAsia="zh-CN"/>
        </w:rPr>
      </w:pPr>
    </w:p>
    <w:p w14:paraId="355A4AC1" w14:textId="4E929DE3" w:rsidR="009D27F8" w:rsidRDefault="00F46AA3" w:rsidP="009D27F8">
      <w:pPr>
        <w:rPr>
          <w:b/>
          <w:bCs/>
          <w:lang w:eastAsia="zh-CN"/>
        </w:rPr>
      </w:pPr>
      <w:r w:rsidRPr="00F46AA3">
        <w:rPr>
          <w:b/>
          <w:bCs/>
          <w:lang w:eastAsia="zh-CN"/>
        </w:rPr>
        <w:t>SAR Related issues</w:t>
      </w:r>
    </w:p>
    <w:tbl>
      <w:tblPr>
        <w:tblStyle w:val="afd"/>
        <w:tblW w:w="0" w:type="auto"/>
        <w:tblLook w:val="04A0" w:firstRow="1" w:lastRow="0" w:firstColumn="1" w:lastColumn="0" w:noHBand="0" w:noVBand="1"/>
      </w:tblPr>
      <w:tblGrid>
        <w:gridCol w:w="9631"/>
      </w:tblGrid>
      <w:tr w:rsidR="00F46AA3" w14:paraId="1A7F9FB5" w14:textId="77777777" w:rsidTr="00F46AA3">
        <w:tc>
          <w:tcPr>
            <w:tcW w:w="9631" w:type="dxa"/>
          </w:tcPr>
          <w:p w14:paraId="64B2F7D5" w14:textId="77777777" w:rsidR="002826EC" w:rsidRPr="00B479CC" w:rsidRDefault="002826EC" w:rsidP="002826EC">
            <w:pPr>
              <w:rPr>
                <w:b/>
                <w:u w:val="single"/>
                <w:lang w:eastAsia="ko-KR"/>
              </w:rPr>
            </w:pPr>
            <w:r w:rsidRPr="00B479CC">
              <w:rPr>
                <w:b/>
                <w:u w:val="single"/>
                <w:lang w:eastAsia="ko-KR"/>
              </w:rPr>
              <w:t xml:space="preserve">Issue </w:t>
            </w:r>
            <w:r w:rsidRPr="00B479CC">
              <w:rPr>
                <w:rFonts w:hint="eastAsia"/>
                <w:b/>
                <w:u w:val="single"/>
                <w:lang w:eastAsia="zh-CN"/>
              </w:rPr>
              <w:t>2</w:t>
            </w:r>
            <w:r w:rsidRPr="00B479CC">
              <w:rPr>
                <w:b/>
                <w:u w:val="single"/>
                <w:lang w:eastAsia="ko-KR"/>
              </w:rPr>
              <w:t>-1</w:t>
            </w:r>
            <w:r w:rsidRPr="00B479CC">
              <w:rPr>
                <w:rFonts w:hint="eastAsia"/>
                <w:b/>
                <w:u w:val="single"/>
                <w:lang w:eastAsia="zh-CN"/>
              </w:rPr>
              <w:t>-</w:t>
            </w:r>
            <w:r w:rsidRPr="00B479CC">
              <w:rPr>
                <w:b/>
                <w:u w:val="single"/>
                <w:lang w:eastAsia="zh-CN"/>
              </w:rPr>
              <w:t>1</w:t>
            </w:r>
            <w:r w:rsidRPr="00B479CC">
              <w:rPr>
                <w:b/>
                <w:u w:val="single"/>
                <w:lang w:eastAsia="ko-KR"/>
              </w:rPr>
              <w:t>:</w:t>
            </w:r>
            <w:r w:rsidRPr="00B479CC">
              <w:rPr>
                <w:rFonts w:hint="eastAsia"/>
                <w:b/>
                <w:u w:val="single"/>
                <w:lang w:eastAsia="zh-CN"/>
              </w:rPr>
              <w:t xml:space="preserve"> </w:t>
            </w:r>
            <w:r w:rsidRPr="00B479CC">
              <w:rPr>
                <w:b/>
                <w:u w:val="single"/>
                <w:lang w:eastAsia="zh-CN"/>
              </w:rPr>
              <w:t>Whether and how to define SAR scheme other than already agreed P-MPR (</w:t>
            </w:r>
            <w:proofErr w:type="gramStart"/>
            <w:r w:rsidRPr="00B479CC">
              <w:rPr>
                <w:b/>
                <w:u w:val="single"/>
                <w:lang w:eastAsia="zh-CN"/>
              </w:rPr>
              <w:t>e.g.</w:t>
            </w:r>
            <w:proofErr w:type="gramEnd"/>
            <w:r w:rsidRPr="00B479CC">
              <w:rPr>
                <w:b/>
                <w:u w:val="single"/>
                <w:lang w:eastAsia="zh-CN"/>
              </w:rPr>
              <w:t xml:space="preserve"> duty cycle related scheme):</w:t>
            </w:r>
          </w:p>
          <w:p w14:paraId="40DA8889" w14:textId="77777777" w:rsidR="002826EC" w:rsidRPr="00B479CC" w:rsidRDefault="002826EC" w:rsidP="002826EC">
            <w:pPr>
              <w:pStyle w:val="aff6"/>
              <w:numPr>
                <w:ilvl w:val="0"/>
                <w:numId w:val="15"/>
              </w:numPr>
              <w:overflowPunct/>
              <w:autoSpaceDE/>
              <w:autoSpaceDN/>
              <w:adjustRightInd/>
              <w:spacing w:after="120" w:line="240" w:lineRule="auto"/>
              <w:ind w:left="720" w:firstLineChars="0"/>
              <w:jc w:val="left"/>
              <w:textAlignment w:val="auto"/>
              <w:rPr>
                <w:rFonts w:eastAsia="宋体"/>
                <w:b/>
                <w:bCs/>
                <w:szCs w:val="24"/>
                <w:lang w:eastAsia="zh-CN"/>
              </w:rPr>
            </w:pPr>
            <w:r w:rsidRPr="00B479CC">
              <w:rPr>
                <w:rFonts w:eastAsia="宋体"/>
                <w:b/>
                <w:bCs/>
                <w:szCs w:val="24"/>
                <w:lang w:eastAsia="zh-CN"/>
              </w:rPr>
              <w:t>Background (for information):</w:t>
            </w:r>
          </w:p>
          <w:p w14:paraId="1AB4C7AA" w14:textId="77777777" w:rsidR="002826EC" w:rsidRPr="00B479CC" w:rsidRDefault="002826EC" w:rsidP="002826EC">
            <w:pPr>
              <w:pStyle w:val="aff6"/>
              <w:numPr>
                <w:ilvl w:val="1"/>
                <w:numId w:val="15"/>
              </w:numPr>
              <w:overflowPunct/>
              <w:autoSpaceDE/>
              <w:autoSpaceDN/>
              <w:adjustRightInd/>
              <w:spacing w:after="120" w:line="240" w:lineRule="auto"/>
              <w:ind w:left="1440" w:firstLineChars="0" w:hanging="360"/>
              <w:jc w:val="left"/>
              <w:textAlignment w:val="auto"/>
              <w:rPr>
                <w:rFonts w:eastAsia="微软雅黑"/>
                <w:u w:val="single"/>
                <w:lang w:val="en-US" w:eastAsia="zh-CN"/>
              </w:rPr>
            </w:pPr>
            <w:r w:rsidRPr="00B479CC">
              <w:rPr>
                <w:lang w:val="en-US" w:eastAsia="zh-CN"/>
              </w:rPr>
              <w:t> P-MPR was already agreed to be the baseline SAR solution for all NTN HPUE cases.</w:t>
            </w:r>
          </w:p>
          <w:p w14:paraId="245C7AB5" w14:textId="77777777" w:rsidR="002826EC" w:rsidRPr="00B479CC" w:rsidRDefault="002826EC" w:rsidP="002826EC">
            <w:pPr>
              <w:pStyle w:val="aff6"/>
              <w:numPr>
                <w:ilvl w:val="1"/>
                <w:numId w:val="15"/>
              </w:numPr>
              <w:overflowPunct/>
              <w:autoSpaceDE/>
              <w:autoSpaceDN/>
              <w:adjustRightInd/>
              <w:spacing w:after="120" w:line="240" w:lineRule="auto"/>
              <w:ind w:left="1440" w:firstLineChars="0" w:hanging="360"/>
              <w:jc w:val="left"/>
              <w:textAlignment w:val="auto"/>
              <w:rPr>
                <w:rFonts w:eastAsia="微软雅黑"/>
                <w:u w:val="single"/>
                <w:lang w:val="en-US" w:eastAsia="zh-CN"/>
              </w:rPr>
            </w:pPr>
            <w:r w:rsidRPr="00B479CC">
              <w:rPr>
                <w:rFonts w:eastAsiaTheme="minorEastAsia" w:hint="eastAsia"/>
                <w:lang w:val="en-US" w:eastAsia="zh-CN"/>
              </w:rPr>
              <w:t>T</w:t>
            </w:r>
            <w:r w:rsidRPr="00B479CC">
              <w:rPr>
                <w:rFonts w:eastAsiaTheme="minorEastAsia"/>
                <w:lang w:val="en-US" w:eastAsia="zh-CN"/>
              </w:rPr>
              <w:t>he current status for duty-cycle based SAR scheme in TN</w:t>
            </w:r>
          </w:p>
          <w:p w14:paraId="0ADC4334" w14:textId="77777777" w:rsidR="002826EC" w:rsidRPr="00B479CC" w:rsidRDefault="002826EC" w:rsidP="002826EC">
            <w:pPr>
              <w:pStyle w:val="aff6"/>
              <w:numPr>
                <w:ilvl w:val="2"/>
                <w:numId w:val="15"/>
              </w:numPr>
              <w:overflowPunct/>
              <w:autoSpaceDE/>
              <w:autoSpaceDN/>
              <w:adjustRightInd/>
              <w:spacing w:after="120" w:line="240" w:lineRule="auto"/>
              <w:ind w:left="2376" w:firstLineChars="0" w:hanging="360"/>
              <w:jc w:val="left"/>
              <w:textAlignment w:val="auto"/>
              <w:rPr>
                <w:rFonts w:eastAsia="微软雅黑"/>
                <w:u w:val="single"/>
                <w:lang w:val="en-US" w:eastAsia="zh-CN"/>
              </w:rPr>
            </w:pPr>
            <w:r w:rsidRPr="00B479CC">
              <w:rPr>
                <w:rFonts w:eastAsiaTheme="minorEastAsia" w:hint="eastAsia"/>
                <w:lang w:val="en-US" w:eastAsia="zh-CN"/>
              </w:rPr>
              <w:t>N</w:t>
            </w:r>
            <w:r w:rsidRPr="00B479CC">
              <w:rPr>
                <w:rFonts w:eastAsiaTheme="minorEastAsia"/>
                <w:lang w:val="en-US" w:eastAsia="zh-CN"/>
              </w:rPr>
              <w:t xml:space="preserve">R: </w:t>
            </w:r>
          </w:p>
          <w:p w14:paraId="3F0AE660" w14:textId="77777777" w:rsidR="002826EC" w:rsidRPr="00B479CC" w:rsidRDefault="002826EC" w:rsidP="002826EC">
            <w:pPr>
              <w:pStyle w:val="aff6"/>
              <w:numPr>
                <w:ilvl w:val="3"/>
                <w:numId w:val="15"/>
              </w:numPr>
              <w:overflowPunct/>
              <w:autoSpaceDE/>
              <w:autoSpaceDN/>
              <w:adjustRightInd/>
              <w:spacing w:after="120" w:line="240" w:lineRule="auto"/>
              <w:ind w:left="3096" w:firstLineChars="0" w:hanging="360"/>
              <w:jc w:val="left"/>
              <w:textAlignment w:val="auto"/>
              <w:rPr>
                <w:rFonts w:eastAsia="微软雅黑"/>
                <w:u w:val="single"/>
                <w:lang w:val="en-US" w:eastAsia="zh-CN"/>
              </w:rPr>
            </w:pPr>
            <w:r w:rsidRPr="00B479CC">
              <w:rPr>
                <w:rFonts w:eastAsiaTheme="minorEastAsia"/>
                <w:lang w:val="en-US" w:eastAsia="zh-CN"/>
              </w:rPr>
              <w:t>Defined in MOP section;</w:t>
            </w:r>
          </w:p>
          <w:p w14:paraId="2034CB77" w14:textId="77777777" w:rsidR="002826EC" w:rsidRPr="00B479CC" w:rsidRDefault="002826EC" w:rsidP="002826EC">
            <w:pPr>
              <w:pStyle w:val="aff6"/>
              <w:numPr>
                <w:ilvl w:val="3"/>
                <w:numId w:val="15"/>
              </w:numPr>
              <w:overflowPunct/>
              <w:autoSpaceDE/>
              <w:autoSpaceDN/>
              <w:adjustRightInd/>
              <w:spacing w:after="120" w:line="240" w:lineRule="auto"/>
              <w:ind w:left="3096" w:firstLineChars="0" w:hanging="360"/>
              <w:jc w:val="left"/>
              <w:textAlignment w:val="auto"/>
              <w:rPr>
                <w:rFonts w:eastAsia="微软雅黑"/>
                <w:u w:val="single"/>
                <w:lang w:val="en-US" w:eastAsia="zh-CN"/>
              </w:rPr>
            </w:pPr>
            <w:r w:rsidRPr="00B479CC">
              <w:rPr>
                <w:rFonts w:eastAsiaTheme="minorEastAsia"/>
                <w:lang w:val="en-US" w:eastAsia="zh-CN"/>
              </w:rPr>
              <w:t xml:space="preserve">Applied in </w:t>
            </w:r>
            <w:r w:rsidRPr="00B479CC">
              <w:rPr>
                <w:lang w:eastAsia="zh-CN"/>
              </w:rPr>
              <w:t>ΔP</w:t>
            </w:r>
            <w:r w:rsidRPr="00B479CC">
              <w:rPr>
                <w:vertAlign w:val="subscript"/>
                <w:lang w:eastAsia="zh-CN"/>
              </w:rPr>
              <w:t>PowerClass</w:t>
            </w:r>
            <w:r w:rsidRPr="00B479CC">
              <w:rPr>
                <w:rFonts w:eastAsiaTheme="minorEastAsia"/>
                <w:lang w:val="en-US" w:eastAsia="zh-CN"/>
              </w:rPr>
              <w:t xml:space="preserve"> in configured transmitted power clause;</w:t>
            </w:r>
          </w:p>
          <w:p w14:paraId="246E5EDC" w14:textId="77777777" w:rsidR="002826EC" w:rsidRPr="00B479CC" w:rsidRDefault="002826EC" w:rsidP="002826EC">
            <w:pPr>
              <w:pStyle w:val="aff6"/>
              <w:numPr>
                <w:ilvl w:val="3"/>
                <w:numId w:val="15"/>
              </w:numPr>
              <w:overflowPunct/>
              <w:autoSpaceDE/>
              <w:autoSpaceDN/>
              <w:adjustRightInd/>
              <w:spacing w:after="120" w:line="240" w:lineRule="auto"/>
              <w:ind w:left="3096" w:firstLineChars="0" w:hanging="360"/>
              <w:jc w:val="left"/>
              <w:textAlignment w:val="auto"/>
              <w:rPr>
                <w:rFonts w:eastAsia="微软雅黑"/>
                <w:u w:val="single"/>
                <w:lang w:val="en-US" w:eastAsia="zh-CN"/>
              </w:rPr>
            </w:pPr>
            <w:r w:rsidRPr="00B479CC">
              <w:rPr>
                <w:rFonts w:eastAsiaTheme="minorEastAsia"/>
                <w:lang w:val="en-US" w:eastAsia="zh-CN"/>
              </w:rPr>
              <w:t xml:space="preserve">whether can apply to FDD band has some different understanding. </w:t>
            </w:r>
          </w:p>
          <w:p w14:paraId="3939F477" w14:textId="77777777" w:rsidR="002826EC" w:rsidRPr="00B479CC" w:rsidRDefault="002826EC" w:rsidP="002826EC">
            <w:pPr>
              <w:pStyle w:val="aff6"/>
              <w:numPr>
                <w:ilvl w:val="2"/>
                <w:numId w:val="15"/>
              </w:numPr>
              <w:overflowPunct/>
              <w:autoSpaceDE/>
              <w:autoSpaceDN/>
              <w:adjustRightInd/>
              <w:spacing w:after="120" w:line="240" w:lineRule="auto"/>
              <w:ind w:left="2376" w:firstLineChars="0" w:hanging="360"/>
              <w:jc w:val="left"/>
              <w:textAlignment w:val="auto"/>
              <w:rPr>
                <w:rFonts w:eastAsia="微软雅黑"/>
                <w:u w:val="single"/>
                <w:lang w:val="en-US" w:eastAsia="zh-CN"/>
              </w:rPr>
            </w:pPr>
            <w:r w:rsidRPr="00B479CC">
              <w:rPr>
                <w:rFonts w:eastAsiaTheme="minorEastAsia" w:hint="eastAsia"/>
                <w:lang w:val="en-US" w:eastAsia="zh-CN"/>
              </w:rPr>
              <w:t>e</w:t>
            </w:r>
            <w:r w:rsidRPr="00B479CC">
              <w:rPr>
                <w:rFonts w:eastAsiaTheme="minorEastAsia"/>
                <w:lang w:val="en-US" w:eastAsia="zh-CN"/>
              </w:rPr>
              <w:t xml:space="preserve">MTC: </w:t>
            </w:r>
          </w:p>
          <w:p w14:paraId="7F644B33" w14:textId="77777777" w:rsidR="002826EC" w:rsidRPr="00B479CC" w:rsidRDefault="002826EC" w:rsidP="002826EC">
            <w:pPr>
              <w:pStyle w:val="aff6"/>
              <w:numPr>
                <w:ilvl w:val="3"/>
                <w:numId w:val="15"/>
              </w:numPr>
              <w:overflowPunct/>
              <w:autoSpaceDE/>
              <w:autoSpaceDN/>
              <w:adjustRightInd/>
              <w:spacing w:after="120" w:line="240" w:lineRule="auto"/>
              <w:ind w:left="3096" w:firstLineChars="0" w:hanging="360"/>
              <w:jc w:val="left"/>
              <w:textAlignment w:val="auto"/>
              <w:rPr>
                <w:rFonts w:eastAsia="微软雅黑"/>
                <w:u w:val="single"/>
                <w:lang w:val="en-US" w:eastAsia="zh-CN"/>
              </w:rPr>
            </w:pPr>
            <w:r w:rsidRPr="00B479CC">
              <w:rPr>
                <w:rFonts w:eastAsiaTheme="minorEastAsia"/>
                <w:lang w:val="en-US" w:eastAsia="zh-CN"/>
              </w:rPr>
              <w:t>Not defined in MOP section;</w:t>
            </w:r>
          </w:p>
          <w:p w14:paraId="45A5D8CA" w14:textId="77777777" w:rsidR="002826EC" w:rsidRPr="00B479CC" w:rsidRDefault="002826EC" w:rsidP="002826EC">
            <w:pPr>
              <w:pStyle w:val="aff6"/>
              <w:numPr>
                <w:ilvl w:val="3"/>
                <w:numId w:val="15"/>
              </w:numPr>
              <w:overflowPunct/>
              <w:autoSpaceDE/>
              <w:autoSpaceDN/>
              <w:adjustRightInd/>
              <w:spacing w:after="120" w:line="240" w:lineRule="auto"/>
              <w:ind w:left="3096" w:firstLineChars="0" w:hanging="360"/>
              <w:jc w:val="left"/>
              <w:textAlignment w:val="auto"/>
              <w:rPr>
                <w:rFonts w:eastAsia="微软雅黑"/>
                <w:u w:val="single"/>
                <w:lang w:val="en-US" w:eastAsia="zh-CN"/>
              </w:rPr>
            </w:pPr>
            <w:r w:rsidRPr="00B479CC">
              <w:rPr>
                <w:rFonts w:eastAsiaTheme="minorEastAsia"/>
                <w:lang w:val="en-US" w:eastAsia="zh-CN"/>
              </w:rPr>
              <w:t>Reference general LTE configurated transmitted power clause, no separate definition</w:t>
            </w:r>
          </w:p>
          <w:p w14:paraId="067AA191" w14:textId="77777777" w:rsidR="002826EC" w:rsidRPr="00B479CC" w:rsidRDefault="002826EC" w:rsidP="002826EC">
            <w:pPr>
              <w:pStyle w:val="aff6"/>
              <w:numPr>
                <w:ilvl w:val="3"/>
                <w:numId w:val="15"/>
              </w:numPr>
              <w:overflowPunct/>
              <w:autoSpaceDE/>
              <w:autoSpaceDN/>
              <w:adjustRightInd/>
              <w:spacing w:after="120" w:line="240" w:lineRule="auto"/>
              <w:ind w:left="3096" w:firstLineChars="0" w:hanging="360"/>
              <w:jc w:val="left"/>
              <w:textAlignment w:val="auto"/>
              <w:rPr>
                <w:rFonts w:eastAsia="微软雅黑"/>
                <w:u w:val="single"/>
                <w:lang w:val="en-US" w:eastAsia="zh-CN"/>
              </w:rPr>
            </w:pPr>
            <w:r w:rsidRPr="00B479CC">
              <w:rPr>
                <w:rFonts w:eastAsiaTheme="minorEastAsia"/>
                <w:lang w:val="en-US" w:eastAsia="zh-CN"/>
              </w:rPr>
              <w:t xml:space="preserve">For general LTE, the duty cycle related power backoff explicitly defined only for </w:t>
            </w:r>
            <w:r w:rsidRPr="00B479CC">
              <w:t xml:space="preserve">TDD band </w:t>
            </w:r>
            <w:r w:rsidRPr="00B479CC">
              <w:rPr>
                <w:rFonts w:hint="eastAsia"/>
                <w:lang w:eastAsia="ja-JP"/>
              </w:rPr>
              <w:t>whose</w:t>
            </w:r>
            <w:r w:rsidRPr="00B479CC">
              <w:t xml:space="preserve"> frame configuration is 0 or 6</w:t>
            </w:r>
          </w:p>
          <w:p w14:paraId="2994E589" w14:textId="77777777" w:rsidR="002826EC" w:rsidRPr="00B479CC" w:rsidRDefault="002826EC" w:rsidP="002826EC">
            <w:pPr>
              <w:pStyle w:val="aff6"/>
              <w:numPr>
                <w:ilvl w:val="2"/>
                <w:numId w:val="15"/>
              </w:numPr>
              <w:overflowPunct/>
              <w:autoSpaceDE/>
              <w:autoSpaceDN/>
              <w:adjustRightInd/>
              <w:spacing w:after="120" w:line="240" w:lineRule="auto"/>
              <w:ind w:left="2376" w:firstLineChars="0" w:hanging="360"/>
              <w:jc w:val="left"/>
              <w:textAlignment w:val="auto"/>
              <w:rPr>
                <w:rFonts w:eastAsia="微软雅黑"/>
                <w:u w:val="single"/>
                <w:lang w:val="en-US" w:eastAsia="zh-CN"/>
              </w:rPr>
            </w:pPr>
            <w:r w:rsidRPr="00B479CC">
              <w:rPr>
                <w:rFonts w:eastAsiaTheme="minorEastAsia"/>
                <w:lang w:val="en-US" w:eastAsia="zh-CN"/>
              </w:rPr>
              <w:lastRenderedPageBreak/>
              <w:t xml:space="preserve">NB-Iot: </w:t>
            </w:r>
          </w:p>
          <w:p w14:paraId="5036728A" w14:textId="77777777" w:rsidR="002826EC" w:rsidRPr="00B479CC" w:rsidRDefault="002826EC" w:rsidP="002826EC">
            <w:pPr>
              <w:pStyle w:val="aff6"/>
              <w:numPr>
                <w:ilvl w:val="3"/>
                <w:numId w:val="15"/>
              </w:numPr>
              <w:overflowPunct/>
              <w:autoSpaceDE/>
              <w:autoSpaceDN/>
              <w:adjustRightInd/>
              <w:spacing w:after="120" w:line="240" w:lineRule="auto"/>
              <w:ind w:left="3096" w:firstLineChars="0" w:hanging="360"/>
              <w:jc w:val="left"/>
              <w:textAlignment w:val="auto"/>
              <w:rPr>
                <w:rFonts w:eastAsia="微软雅黑"/>
                <w:u w:val="single"/>
                <w:lang w:val="en-US" w:eastAsia="zh-CN"/>
              </w:rPr>
            </w:pPr>
            <w:r w:rsidRPr="00B479CC">
              <w:rPr>
                <w:rFonts w:eastAsiaTheme="minorEastAsia"/>
                <w:lang w:val="en-US" w:eastAsia="zh-CN"/>
              </w:rPr>
              <w:t>Not defined in MOP section;</w:t>
            </w:r>
          </w:p>
          <w:p w14:paraId="53D4F3B2" w14:textId="77777777" w:rsidR="002826EC" w:rsidRPr="00B479CC" w:rsidRDefault="002826EC" w:rsidP="002826EC">
            <w:pPr>
              <w:pStyle w:val="aff6"/>
              <w:numPr>
                <w:ilvl w:val="3"/>
                <w:numId w:val="15"/>
              </w:numPr>
              <w:overflowPunct/>
              <w:autoSpaceDE/>
              <w:autoSpaceDN/>
              <w:adjustRightInd/>
              <w:spacing w:after="120" w:line="240" w:lineRule="auto"/>
              <w:ind w:left="3096" w:firstLineChars="0" w:hanging="360"/>
              <w:jc w:val="left"/>
              <w:textAlignment w:val="auto"/>
              <w:rPr>
                <w:rFonts w:eastAsia="微软雅黑"/>
                <w:lang w:val="en-US" w:eastAsia="zh-CN"/>
              </w:rPr>
            </w:pPr>
            <w:r w:rsidRPr="00B479CC">
              <w:rPr>
                <w:rFonts w:eastAsia="微软雅黑" w:hint="eastAsia"/>
                <w:lang w:val="en-US" w:eastAsia="zh-CN"/>
              </w:rPr>
              <w:t>N</w:t>
            </w:r>
            <w:r w:rsidRPr="00B479CC">
              <w:rPr>
                <w:rFonts w:eastAsia="微软雅黑"/>
                <w:lang w:val="en-US" w:eastAsia="zh-CN"/>
              </w:rPr>
              <w:t>ot defined in configured transmitted power clause which use dedicated equations (Not reference LTE general equation)</w:t>
            </w:r>
          </w:p>
          <w:p w14:paraId="2B95CC28" w14:textId="77777777" w:rsidR="002826EC" w:rsidRPr="00FC63D6" w:rsidRDefault="002826EC" w:rsidP="002826EC">
            <w:pPr>
              <w:pStyle w:val="aff6"/>
              <w:numPr>
                <w:ilvl w:val="0"/>
                <w:numId w:val="15"/>
              </w:numPr>
              <w:overflowPunct/>
              <w:autoSpaceDE/>
              <w:autoSpaceDN/>
              <w:adjustRightInd/>
              <w:spacing w:after="120" w:line="240" w:lineRule="auto"/>
              <w:ind w:left="720" w:firstLineChars="0"/>
              <w:jc w:val="left"/>
              <w:textAlignment w:val="auto"/>
              <w:rPr>
                <w:rFonts w:eastAsia="宋体"/>
                <w:b/>
                <w:bCs/>
                <w:szCs w:val="24"/>
                <w:lang w:eastAsia="zh-CN"/>
              </w:rPr>
            </w:pPr>
            <w:r w:rsidRPr="00FC63D6">
              <w:rPr>
                <w:rFonts w:eastAsia="宋体"/>
                <w:b/>
                <w:bCs/>
                <w:szCs w:val="24"/>
                <w:lang w:eastAsia="zh-CN"/>
              </w:rPr>
              <w:t>Options for Selection:</w:t>
            </w:r>
          </w:p>
          <w:p w14:paraId="2CC5E1DD" w14:textId="77777777" w:rsidR="002826EC" w:rsidRPr="001341CB" w:rsidRDefault="002826EC" w:rsidP="002826EC">
            <w:pPr>
              <w:pStyle w:val="aff6"/>
              <w:numPr>
                <w:ilvl w:val="1"/>
                <w:numId w:val="15"/>
              </w:numPr>
              <w:overflowPunct/>
              <w:autoSpaceDE/>
              <w:autoSpaceDN/>
              <w:adjustRightInd/>
              <w:spacing w:after="120" w:line="240" w:lineRule="auto"/>
              <w:ind w:left="1440" w:firstLineChars="0" w:hanging="360"/>
              <w:jc w:val="left"/>
              <w:textAlignment w:val="auto"/>
              <w:rPr>
                <w:rFonts w:eastAsia="微软雅黑"/>
                <w:u w:val="single"/>
                <w:lang w:val="en-US" w:eastAsia="zh-CN"/>
              </w:rPr>
            </w:pPr>
            <w:r w:rsidRPr="001341CB">
              <w:rPr>
                <w:lang w:val="en-US" w:eastAsia="zh-CN"/>
              </w:rPr>
              <w:t> </w:t>
            </w:r>
            <w:r w:rsidRPr="001341CB">
              <w:rPr>
                <w:rFonts w:eastAsia="宋体"/>
                <w:szCs w:val="24"/>
                <w:lang w:eastAsia="zh-CN"/>
              </w:rPr>
              <w:t>Option 1:</w:t>
            </w:r>
            <w:r w:rsidRPr="001341CB">
              <w:rPr>
                <w:rFonts w:eastAsia="宋体"/>
                <w:szCs w:val="24"/>
                <w:u w:val="single"/>
                <w:lang w:eastAsia="zh-CN"/>
              </w:rPr>
              <w:t xml:space="preserve"> Keep the same status as TN for respective base RAT</w:t>
            </w:r>
          </w:p>
          <w:p w14:paraId="3E76B221" w14:textId="77777777" w:rsidR="002826EC" w:rsidRPr="00083301" w:rsidRDefault="002826EC" w:rsidP="002826EC">
            <w:pPr>
              <w:pStyle w:val="aff6"/>
              <w:numPr>
                <w:ilvl w:val="2"/>
                <w:numId w:val="15"/>
              </w:numPr>
              <w:overflowPunct/>
              <w:autoSpaceDE/>
              <w:autoSpaceDN/>
              <w:adjustRightInd/>
              <w:spacing w:after="120" w:line="240" w:lineRule="auto"/>
              <w:ind w:left="2376" w:firstLineChars="0" w:hanging="360"/>
              <w:jc w:val="left"/>
              <w:textAlignment w:val="auto"/>
              <w:rPr>
                <w:rFonts w:eastAsia="宋体"/>
                <w:szCs w:val="24"/>
                <w:lang w:eastAsia="zh-CN"/>
              </w:rPr>
            </w:pPr>
            <w:r w:rsidRPr="00083301">
              <w:rPr>
                <w:rFonts w:eastAsia="宋体"/>
                <w:szCs w:val="24"/>
                <w:lang w:eastAsia="zh-CN"/>
              </w:rPr>
              <w:t>NR-NTN:</w:t>
            </w:r>
            <w:r w:rsidRPr="00083301">
              <w:rPr>
                <w:rFonts w:eastAsia="宋体"/>
                <w:szCs w:val="24"/>
                <w:lang w:eastAsia="zh-CN"/>
              </w:rPr>
              <w:tab/>
              <w:t>Reuse NR TN,</w:t>
            </w:r>
          </w:p>
          <w:p w14:paraId="6A9C6378" w14:textId="77777777" w:rsidR="002826EC" w:rsidRPr="00083301" w:rsidRDefault="002826EC" w:rsidP="002826EC">
            <w:pPr>
              <w:pStyle w:val="aff6"/>
              <w:numPr>
                <w:ilvl w:val="3"/>
                <w:numId w:val="15"/>
              </w:numPr>
              <w:overflowPunct/>
              <w:autoSpaceDE/>
              <w:autoSpaceDN/>
              <w:adjustRightInd/>
              <w:spacing w:after="120" w:line="240" w:lineRule="auto"/>
              <w:ind w:left="3096" w:firstLineChars="0" w:hanging="360"/>
              <w:jc w:val="left"/>
              <w:textAlignment w:val="auto"/>
              <w:rPr>
                <w:rFonts w:eastAsia="宋体"/>
                <w:szCs w:val="24"/>
                <w:lang w:eastAsia="zh-CN"/>
              </w:rPr>
            </w:pPr>
            <w:r>
              <w:rPr>
                <w:rFonts w:eastAsia="宋体"/>
                <w:szCs w:val="24"/>
                <w:lang w:eastAsia="zh-CN"/>
              </w:rPr>
              <w:t>In</w:t>
            </w:r>
            <w:r w:rsidRPr="00083301">
              <w:rPr>
                <w:rFonts w:eastAsia="宋体"/>
                <w:szCs w:val="24"/>
                <w:lang w:eastAsia="zh-CN"/>
              </w:rPr>
              <w:t xml:space="preserve">cluding </w:t>
            </w:r>
            <w:r w:rsidRPr="00083301">
              <w:rPr>
                <w:lang w:eastAsia="zh-CN"/>
              </w:rPr>
              <w:t>ΔP</w:t>
            </w:r>
            <w:r w:rsidRPr="00083301">
              <w:rPr>
                <w:vertAlign w:val="subscript"/>
                <w:lang w:eastAsia="zh-CN"/>
              </w:rPr>
              <w:t>PowerClass</w:t>
            </w:r>
            <w:r w:rsidRPr="00083301">
              <w:rPr>
                <w:rFonts w:eastAsia="宋体"/>
                <w:szCs w:val="24"/>
                <w:lang w:eastAsia="zh-CN"/>
              </w:rPr>
              <w:t xml:space="preserve"> in configured transmitted power clause</w:t>
            </w:r>
          </w:p>
          <w:p w14:paraId="0CA0D760" w14:textId="77777777" w:rsidR="002826EC" w:rsidRPr="00083301" w:rsidRDefault="002826EC" w:rsidP="002826EC">
            <w:pPr>
              <w:pStyle w:val="aff6"/>
              <w:numPr>
                <w:ilvl w:val="2"/>
                <w:numId w:val="15"/>
              </w:numPr>
              <w:overflowPunct/>
              <w:autoSpaceDE/>
              <w:autoSpaceDN/>
              <w:adjustRightInd/>
              <w:spacing w:after="120" w:line="240" w:lineRule="auto"/>
              <w:ind w:left="2376" w:firstLineChars="0" w:hanging="360"/>
              <w:jc w:val="left"/>
              <w:textAlignment w:val="auto"/>
              <w:rPr>
                <w:rFonts w:eastAsia="宋体"/>
                <w:szCs w:val="24"/>
                <w:lang w:eastAsia="zh-CN"/>
              </w:rPr>
            </w:pPr>
            <w:r w:rsidRPr="00083301">
              <w:rPr>
                <w:rFonts w:eastAsia="宋体"/>
                <w:szCs w:val="24"/>
                <w:lang w:eastAsia="zh-CN"/>
              </w:rPr>
              <w:t>eMTC based Iot-NTN:</w:t>
            </w:r>
            <w:r w:rsidRPr="00083301">
              <w:rPr>
                <w:rFonts w:eastAsia="宋体"/>
                <w:szCs w:val="24"/>
                <w:lang w:eastAsia="zh-CN"/>
              </w:rPr>
              <w:tab/>
            </w:r>
            <w:r w:rsidRPr="00083301">
              <w:rPr>
                <w:rFonts w:eastAsia="宋体"/>
                <w:szCs w:val="24"/>
                <w:lang w:eastAsia="zh-CN"/>
              </w:rPr>
              <w:tab/>
              <w:t>Reuse eMTC</w:t>
            </w:r>
          </w:p>
          <w:p w14:paraId="11733D1E" w14:textId="77777777" w:rsidR="002826EC" w:rsidRPr="00083301" w:rsidRDefault="002826EC" w:rsidP="002826EC">
            <w:pPr>
              <w:pStyle w:val="aff6"/>
              <w:numPr>
                <w:ilvl w:val="3"/>
                <w:numId w:val="15"/>
              </w:numPr>
              <w:overflowPunct/>
              <w:autoSpaceDE/>
              <w:autoSpaceDN/>
              <w:adjustRightInd/>
              <w:spacing w:after="120" w:line="240" w:lineRule="auto"/>
              <w:ind w:left="3096" w:firstLineChars="0" w:hanging="360"/>
              <w:jc w:val="left"/>
              <w:textAlignment w:val="auto"/>
              <w:rPr>
                <w:rFonts w:eastAsia="宋体"/>
                <w:szCs w:val="24"/>
                <w:lang w:eastAsia="zh-CN"/>
              </w:rPr>
            </w:pPr>
            <w:r>
              <w:rPr>
                <w:rFonts w:eastAsia="宋体"/>
                <w:szCs w:val="24"/>
                <w:lang w:eastAsia="zh-CN"/>
              </w:rPr>
              <w:t>N</w:t>
            </w:r>
            <w:r w:rsidRPr="00083301">
              <w:rPr>
                <w:rFonts w:eastAsia="宋体"/>
                <w:szCs w:val="24"/>
                <w:lang w:eastAsia="zh-CN"/>
              </w:rPr>
              <w:t xml:space="preserve">ot precluding </w:t>
            </w:r>
            <w:r w:rsidRPr="00083301">
              <w:rPr>
                <w:lang w:eastAsia="zh-CN"/>
              </w:rPr>
              <w:t>ΔP</w:t>
            </w:r>
            <w:r w:rsidRPr="00083301">
              <w:rPr>
                <w:vertAlign w:val="subscript"/>
                <w:lang w:eastAsia="zh-CN"/>
              </w:rPr>
              <w:t>PowerClass</w:t>
            </w:r>
            <w:r w:rsidRPr="00083301">
              <w:rPr>
                <w:rFonts w:eastAsia="宋体"/>
                <w:szCs w:val="24"/>
                <w:lang w:eastAsia="zh-CN"/>
              </w:rPr>
              <w:t xml:space="preserve"> in configurated transmitted power clause</w:t>
            </w:r>
          </w:p>
          <w:p w14:paraId="0CFC6711" w14:textId="77777777" w:rsidR="002826EC" w:rsidRPr="00083301" w:rsidRDefault="002826EC" w:rsidP="002826EC">
            <w:pPr>
              <w:pStyle w:val="aff6"/>
              <w:numPr>
                <w:ilvl w:val="2"/>
                <w:numId w:val="15"/>
              </w:numPr>
              <w:overflowPunct/>
              <w:autoSpaceDE/>
              <w:autoSpaceDN/>
              <w:adjustRightInd/>
              <w:spacing w:after="120" w:line="240" w:lineRule="auto"/>
              <w:ind w:left="2376" w:firstLineChars="0" w:hanging="360"/>
              <w:jc w:val="left"/>
              <w:textAlignment w:val="auto"/>
              <w:rPr>
                <w:rFonts w:eastAsia="宋体"/>
                <w:szCs w:val="24"/>
                <w:lang w:eastAsia="zh-CN"/>
              </w:rPr>
            </w:pPr>
            <w:r w:rsidRPr="00083301">
              <w:rPr>
                <w:rFonts w:eastAsia="宋体"/>
                <w:szCs w:val="24"/>
                <w:lang w:eastAsia="zh-CN"/>
              </w:rPr>
              <w:t xml:space="preserve">NB-Iot based Iot-NTN: </w:t>
            </w:r>
            <w:r w:rsidRPr="00083301">
              <w:rPr>
                <w:rFonts w:eastAsia="宋体"/>
                <w:szCs w:val="24"/>
                <w:lang w:eastAsia="zh-CN"/>
              </w:rPr>
              <w:tab/>
              <w:t>Reusing NB-Iot</w:t>
            </w:r>
          </w:p>
          <w:p w14:paraId="4A0AAF5F" w14:textId="77777777" w:rsidR="002826EC" w:rsidRPr="00083301" w:rsidRDefault="002826EC" w:rsidP="002826EC">
            <w:pPr>
              <w:pStyle w:val="aff6"/>
              <w:numPr>
                <w:ilvl w:val="3"/>
                <w:numId w:val="15"/>
              </w:numPr>
              <w:overflowPunct/>
              <w:autoSpaceDE/>
              <w:autoSpaceDN/>
              <w:adjustRightInd/>
              <w:spacing w:after="120" w:line="240" w:lineRule="auto"/>
              <w:ind w:left="3096" w:firstLineChars="0" w:hanging="360"/>
              <w:jc w:val="left"/>
              <w:textAlignment w:val="auto"/>
              <w:rPr>
                <w:rFonts w:eastAsia="宋体"/>
                <w:szCs w:val="24"/>
                <w:lang w:eastAsia="zh-CN"/>
              </w:rPr>
            </w:pPr>
            <w:r w:rsidRPr="00083301">
              <w:rPr>
                <w:rFonts w:eastAsia="宋体"/>
                <w:szCs w:val="24"/>
                <w:lang w:eastAsia="zh-CN"/>
              </w:rPr>
              <w:t>No duty cycle related scheme defined</w:t>
            </w:r>
          </w:p>
          <w:p w14:paraId="16F6B232" w14:textId="77777777" w:rsidR="002826EC" w:rsidRPr="001341CB" w:rsidRDefault="002826EC" w:rsidP="002826EC">
            <w:pPr>
              <w:pStyle w:val="aff6"/>
              <w:numPr>
                <w:ilvl w:val="1"/>
                <w:numId w:val="15"/>
              </w:numPr>
              <w:overflowPunct/>
              <w:autoSpaceDE/>
              <w:autoSpaceDN/>
              <w:adjustRightInd/>
              <w:spacing w:after="120" w:line="240" w:lineRule="auto"/>
              <w:ind w:left="1440" w:firstLineChars="0" w:hanging="360"/>
              <w:jc w:val="left"/>
              <w:textAlignment w:val="auto"/>
              <w:rPr>
                <w:u w:val="single"/>
                <w:lang w:val="en-US" w:eastAsia="zh-CN"/>
              </w:rPr>
            </w:pPr>
            <w:r w:rsidRPr="001341CB">
              <w:rPr>
                <w:lang w:val="en-US" w:eastAsia="zh-CN"/>
              </w:rPr>
              <w:t xml:space="preserve">Option 2: </w:t>
            </w:r>
            <w:r w:rsidRPr="001341CB">
              <w:rPr>
                <w:u w:val="single"/>
                <w:lang w:val="en-US" w:eastAsia="zh-CN"/>
              </w:rPr>
              <w:t>Introduce further revision / new method</w:t>
            </w:r>
          </w:p>
          <w:p w14:paraId="111EE41C" w14:textId="77777777" w:rsidR="002826EC" w:rsidRPr="00083301" w:rsidRDefault="002826EC" w:rsidP="002826EC">
            <w:pPr>
              <w:pStyle w:val="aff6"/>
              <w:numPr>
                <w:ilvl w:val="2"/>
                <w:numId w:val="15"/>
              </w:numPr>
              <w:overflowPunct/>
              <w:autoSpaceDE/>
              <w:autoSpaceDN/>
              <w:adjustRightInd/>
              <w:spacing w:after="120" w:line="240" w:lineRule="auto"/>
              <w:ind w:left="2376" w:firstLineChars="0" w:hanging="360"/>
              <w:jc w:val="left"/>
              <w:textAlignment w:val="auto"/>
              <w:rPr>
                <w:rFonts w:eastAsia="宋体"/>
                <w:szCs w:val="24"/>
                <w:lang w:eastAsia="zh-CN"/>
              </w:rPr>
            </w:pPr>
            <w:r w:rsidRPr="00083301">
              <w:rPr>
                <w:rFonts w:eastAsia="宋体"/>
                <w:szCs w:val="24"/>
                <w:lang w:eastAsia="zh-CN"/>
              </w:rPr>
              <w:t>NR-NTN sub-options:</w:t>
            </w:r>
          </w:p>
          <w:p w14:paraId="6921C5A2" w14:textId="77777777" w:rsidR="002826EC" w:rsidRPr="00083301" w:rsidRDefault="002826EC" w:rsidP="002826EC">
            <w:pPr>
              <w:pStyle w:val="aff6"/>
              <w:numPr>
                <w:ilvl w:val="3"/>
                <w:numId w:val="15"/>
              </w:numPr>
              <w:overflowPunct/>
              <w:autoSpaceDE/>
              <w:autoSpaceDN/>
              <w:adjustRightInd/>
              <w:spacing w:after="120" w:line="240" w:lineRule="auto"/>
              <w:ind w:left="3096" w:firstLineChars="0" w:hanging="360"/>
              <w:jc w:val="left"/>
              <w:textAlignment w:val="auto"/>
              <w:rPr>
                <w:rFonts w:eastAsia="宋体"/>
                <w:szCs w:val="24"/>
                <w:lang w:eastAsia="zh-CN"/>
              </w:rPr>
            </w:pPr>
            <w:r w:rsidRPr="00083301">
              <w:rPr>
                <w:rFonts w:eastAsia="宋体"/>
                <w:szCs w:val="24"/>
                <w:lang w:eastAsia="zh-CN"/>
              </w:rPr>
              <w:t>A. Introduce clarification for FDD band support; (</w:t>
            </w:r>
            <w:r>
              <w:rPr>
                <w:rFonts w:eastAsia="宋体"/>
                <w:szCs w:val="24"/>
                <w:lang w:eastAsia="zh-CN"/>
              </w:rPr>
              <w:t xml:space="preserve">Nokia, </w:t>
            </w:r>
            <w:r w:rsidRPr="00083301">
              <w:rPr>
                <w:rFonts w:eastAsia="宋体"/>
                <w:szCs w:val="24"/>
                <w:lang w:eastAsia="zh-CN"/>
              </w:rPr>
              <w:t>Qualcomm)</w:t>
            </w:r>
          </w:p>
          <w:p w14:paraId="4FA7D249" w14:textId="77777777" w:rsidR="002826EC" w:rsidRPr="00083301" w:rsidRDefault="002826EC" w:rsidP="002826EC">
            <w:pPr>
              <w:pStyle w:val="aff6"/>
              <w:numPr>
                <w:ilvl w:val="3"/>
                <w:numId w:val="15"/>
              </w:numPr>
              <w:overflowPunct/>
              <w:autoSpaceDE/>
              <w:autoSpaceDN/>
              <w:adjustRightInd/>
              <w:spacing w:after="120" w:line="240" w:lineRule="auto"/>
              <w:ind w:left="3096" w:firstLineChars="0" w:hanging="360"/>
              <w:jc w:val="left"/>
              <w:textAlignment w:val="auto"/>
              <w:rPr>
                <w:rFonts w:eastAsia="宋体"/>
                <w:szCs w:val="24"/>
                <w:lang w:eastAsia="zh-CN"/>
              </w:rPr>
            </w:pPr>
            <w:r w:rsidRPr="00083301">
              <w:rPr>
                <w:rFonts w:eastAsia="宋体"/>
                <w:szCs w:val="24"/>
                <w:lang w:eastAsia="zh-CN"/>
              </w:rPr>
              <w:t xml:space="preserve">B. changing the </w:t>
            </w:r>
            <w:r w:rsidRPr="00083301">
              <w:rPr>
                <w:lang w:eastAsia="zh-CN"/>
              </w:rPr>
              <w:t>ΔP</w:t>
            </w:r>
            <w:r w:rsidRPr="00083301">
              <w:rPr>
                <w:vertAlign w:val="subscript"/>
                <w:lang w:eastAsia="zh-CN"/>
              </w:rPr>
              <w:t>PowerClass</w:t>
            </w:r>
            <w:r w:rsidRPr="00083301">
              <w:rPr>
                <w:rFonts w:eastAsia="宋体"/>
                <w:szCs w:val="24"/>
                <w:lang w:eastAsia="zh-CN"/>
              </w:rPr>
              <w:t xml:space="preserve"> from mandatory to optional;(Qualcomm)</w:t>
            </w:r>
          </w:p>
          <w:p w14:paraId="743B0CB7" w14:textId="77777777" w:rsidR="002826EC" w:rsidRPr="00083301" w:rsidRDefault="002826EC" w:rsidP="002826EC">
            <w:pPr>
              <w:pStyle w:val="aff6"/>
              <w:numPr>
                <w:ilvl w:val="3"/>
                <w:numId w:val="15"/>
              </w:numPr>
              <w:overflowPunct/>
              <w:autoSpaceDE/>
              <w:autoSpaceDN/>
              <w:adjustRightInd/>
              <w:spacing w:after="120" w:line="240" w:lineRule="auto"/>
              <w:ind w:left="3096" w:firstLineChars="0" w:hanging="360"/>
              <w:jc w:val="left"/>
              <w:textAlignment w:val="auto"/>
              <w:rPr>
                <w:rFonts w:eastAsia="宋体"/>
                <w:szCs w:val="24"/>
                <w:lang w:eastAsia="zh-CN"/>
              </w:rPr>
            </w:pPr>
            <w:r w:rsidRPr="00083301">
              <w:rPr>
                <w:rFonts w:eastAsia="宋体"/>
                <w:szCs w:val="24"/>
                <w:lang w:eastAsia="zh-CN"/>
              </w:rPr>
              <w:t>C. UE voluntarily dropping uplink transmissions by self-assessment to control the SAR (vivo)</w:t>
            </w:r>
          </w:p>
          <w:p w14:paraId="1863AC4A" w14:textId="77777777" w:rsidR="002826EC" w:rsidRPr="00083301" w:rsidRDefault="002826EC" w:rsidP="002826EC">
            <w:pPr>
              <w:pStyle w:val="aff6"/>
              <w:numPr>
                <w:ilvl w:val="3"/>
                <w:numId w:val="15"/>
              </w:numPr>
              <w:overflowPunct/>
              <w:autoSpaceDE/>
              <w:autoSpaceDN/>
              <w:adjustRightInd/>
              <w:spacing w:after="120" w:line="240" w:lineRule="auto"/>
              <w:ind w:left="3096" w:firstLineChars="0" w:hanging="360"/>
              <w:jc w:val="left"/>
              <w:textAlignment w:val="auto"/>
              <w:rPr>
                <w:rFonts w:eastAsia="宋体"/>
                <w:szCs w:val="24"/>
                <w:lang w:eastAsia="zh-CN"/>
              </w:rPr>
            </w:pPr>
            <w:r w:rsidRPr="00083301">
              <w:rPr>
                <w:rFonts w:eastAsia="宋体"/>
                <w:szCs w:val="24"/>
                <w:lang w:eastAsia="zh-CN"/>
              </w:rPr>
              <w:t>D. differentiate UE working status in terms of whether SAR is required in a time duration. (OPPO)</w:t>
            </w:r>
          </w:p>
          <w:p w14:paraId="42D54443" w14:textId="77777777" w:rsidR="002826EC" w:rsidRPr="00083301" w:rsidRDefault="002826EC" w:rsidP="002826EC">
            <w:pPr>
              <w:pStyle w:val="aff6"/>
              <w:numPr>
                <w:ilvl w:val="3"/>
                <w:numId w:val="15"/>
              </w:numPr>
              <w:overflowPunct/>
              <w:autoSpaceDE/>
              <w:autoSpaceDN/>
              <w:adjustRightInd/>
              <w:spacing w:after="120" w:line="240" w:lineRule="auto"/>
              <w:ind w:left="3096" w:firstLineChars="0" w:hanging="360"/>
              <w:jc w:val="left"/>
              <w:textAlignment w:val="auto"/>
              <w:rPr>
                <w:rFonts w:eastAsia="宋体"/>
                <w:szCs w:val="24"/>
                <w:lang w:eastAsia="zh-CN"/>
              </w:rPr>
            </w:pPr>
            <w:r w:rsidRPr="00083301">
              <w:rPr>
                <w:rFonts w:eastAsia="宋体"/>
                <w:szCs w:val="24"/>
                <w:lang w:eastAsia="zh-CN"/>
              </w:rPr>
              <w:t>E. To have the network to notify/signal its upper bound of uplink ratio for a certain time duration (Samsung)</w:t>
            </w:r>
          </w:p>
          <w:p w14:paraId="0AA88CB8" w14:textId="77777777" w:rsidR="002826EC" w:rsidRPr="00083301" w:rsidRDefault="002826EC" w:rsidP="002826EC">
            <w:pPr>
              <w:pStyle w:val="aff6"/>
              <w:numPr>
                <w:ilvl w:val="3"/>
                <w:numId w:val="15"/>
              </w:numPr>
              <w:overflowPunct/>
              <w:autoSpaceDE/>
              <w:autoSpaceDN/>
              <w:adjustRightInd/>
              <w:spacing w:after="120" w:line="240" w:lineRule="auto"/>
              <w:ind w:left="3096" w:firstLineChars="0" w:hanging="360"/>
              <w:jc w:val="left"/>
              <w:textAlignment w:val="auto"/>
              <w:rPr>
                <w:rFonts w:eastAsia="宋体"/>
                <w:szCs w:val="24"/>
                <w:lang w:eastAsia="zh-CN"/>
              </w:rPr>
            </w:pPr>
            <w:r w:rsidRPr="00083301">
              <w:rPr>
                <w:rFonts w:eastAsia="宋体"/>
                <w:szCs w:val="24"/>
                <w:lang w:eastAsia="zh-CN"/>
              </w:rPr>
              <w:t>F. Energy headroom reporting (Qualcomm)</w:t>
            </w:r>
          </w:p>
          <w:p w14:paraId="7F2B222B" w14:textId="77777777" w:rsidR="002826EC" w:rsidRDefault="002826EC" w:rsidP="002826EC">
            <w:pPr>
              <w:pStyle w:val="aff6"/>
              <w:numPr>
                <w:ilvl w:val="3"/>
                <w:numId w:val="15"/>
              </w:numPr>
              <w:overflowPunct/>
              <w:autoSpaceDE/>
              <w:autoSpaceDN/>
              <w:adjustRightInd/>
              <w:spacing w:after="120" w:line="240" w:lineRule="auto"/>
              <w:ind w:left="3096" w:firstLineChars="0" w:hanging="360"/>
              <w:jc w:val="left"/>
              <w:textAlignment w:val="auto"/>
              <w:rPr>
                <w:rFonts w:eastAsia="宋体"/>
                <w:szCs w:val="24"/>
                <w:lang w:eastAsia="zh-CN"/>
              </w:rPr>
            </w:pPr>
            <w:r w:rsidRPr="00083301">
              <w:rPr>
                <w:rFonts w:eastAsia="宋体"/>
                <w:szCs w:val="24"/>
                <w:lang w:eastAsia="zh-CN"/>
              </w:rPr>
              <w:t xml:space="preserve">G. </w:t>
            </w:r>
            <w:r w:rsidRPr="00083301">
              <w:rPr>
                <w:lang w:eastAsia="zh-CN"/>
              </w:rPr>
              <w:t>ΔP</w:t>
            </w:r>
            <w:r w:rsidRPr="00083301">
              <w:rPr>
                <w:vertAlign w:val="subscript"/>
                <w:lang w:eastAsia="zh-CN"/>
              </w:rPr>
              <w:t>PowerClass</w:t>
            </w:r>
            <w:r w:rsidRPr="00083301">
              <w:rPr>
                <w:rFonts w:eastAsia="宋体"/>
                <w:szCs w:val="24"/>
                <w:lang w:eastAsia="zh-CN"/>
              </w:rPr>
              <w:t xml:space="preserve"> and P-MPR reporting (Ericsson, SONY, Nokia)</w:t>
            </w:r>
          </w:p>
          <w:p w14:paraId="34CAB5B8" w14:textId="77777777" w:rsidR="002826EC" w:rsidRPr="00083301" w:rsidRDefault="002826EC" w:rsidP="002826EC">
            <w:pPr>
              <w:pStyle w:val="aff6"/>
              <w:numPr>
                <w:ilvl w:val="3"/>
                <w:numId w:val="15"/>
              </w:numPr>
              <w:overflowPunct/>
              <w:autoSpaceDE/>
              <w:autoSpaceDN/>
              <w:adjustRightInd/>
              <w:spacing w:after="120" w:line="240" w:lineRule="auto"/>
              <w:ind w:left="3096" w:firstLineChars="0" w:hanging="360"/>
              <w:jc w:val="left"/>
              <w:textAlignment w:val="auto"/>
              <w:rPr>
                <w:rFonts w:eastAsia="宋体"/>
                <w:szCs w:val="24"/>
                <w:lang w:eastAsia="zh-CN"/>
              </w:rPr>
            </w:pPr>
            <w:r>
              <w:rPr>
                <w:rFonts w:eastAsia="宋体"/>
                <w:szCs w:val="24"/>
                <w:lang w:eastAsia="zh-CN"/>
              </w:rPr>
              <w:t xml:space="preserve">H. </w:t>
            </w:r>
            <w:r w:rsidRPr="00035E9F">
              <w:rPr>
                <w:rFonts w:eastAsia="宋体"/>
                <w:szCs w:val="24"/>
                <w:lang w:eastAsia="zh-CN"/>
              </w:rPr>
              <w:t>Send information LS to RAN2</w:t>
            </w:r>
            <w:r w:rsidRPr="00D073DF">
              <w:rPr>
                <w:rFonts w:eastAsia="宋体"/>
                <w:szCs w:val="24"/>
                <w:lang w:eastAsia="zh-CN"/>
              </w:rPr>
              <w:t xml:space="preserve"> </w:t>
            </w:r>
            <w:r w:rsidRPr="00035E9F">
              <w:rPr>
                <w:rFonts w:eastAsia="宋体"/>
                <w:szCs w:val="24"/>
                <w:lang w:eastAsia="zh-CN"/>
              </w:rPr>
              <w:t>support PC1 NTN HPUE for FDD use cases.</w:t>
            </w:r>
            <w:r>
              <w:rPr>
                <w:rFonts w:eastAsia="宋体"/>
                <w:szCs w:val="24"/>
                <w:lang w:eastAsia="zh-CN"/>
              </w:rPr>
              <w:t xml:space="preserve"> (Nokia)</w:t>
            </w:r>
          </w:p>
          <w:p w14:paraId="5FAA3579" w14:textId="77777777" w:rsidR="002826EC" w:rsidRPr="00083301" w:rsidRDefault="002826EC" w:rsidP="002826EC">
            <w:pPr>
              <w:pStyle w:val="aff6"/>
              <w:numPr>
                <w:ilvl w:val="3"/>
                <w:numId w:val="15"/>
              </w:numPr>
              <w:overflowPunct/>
              <w:autoSpaceDE/>
              <w:autoSpaceDN/>
              <w:adjustRightInd/>
              <w:spacing w:after="120" w:line="240" w:lineRule="auto"/>
              <w:ind w:left="3096" w:firstLineChars="0" w:hanging="360"/>
              <w:jc w:val="left"/>
              <w:textAlignment w:val="auto"/>
              <w:rPr>
                <w:rFonts w:eastAsia="宋体"/>
                <w:szCs w:val="24"/>
                <w:lang w:eastAsia="zh-CN"/>
              </w:rPr>
            </w:pPr>
            <w:r>
              <w:rPr>
                <w:rFonts w:eastAsia="宋体"/>
                <w:szCs w:val="24"/>
                <w:lang w:eastAsia="zh-CN"/>
              </w:rPr>
              <w:t>I</w:t>
            </w:r>
            <w:r w:rsidRPr="00083301">
              <w:rPr>
                <w:rFonts w:eastAsia="宋体"/>
                <w:szCs w:val="24"/>
                <w:lang w:eastAsia="zh-CN"/>
              </w:rPr>
              <w:t>. inform the RAN that it is close to the SAR limit (ViaSet, Inmarsat)</w:t>
            </w:r>
          </w:p>
          <w:p w14:paraId="1FD256CC" w14:textId="77777777" w:rsidR="002826EC" w:rsidRPr="00083301" w:rsidRDefault="002826EC" w:rsidP="002826EC">
            <w:pPr>
              <w:pStyle w:val="aff6"/>
              <w:numPr>
                <w:ilvl w:val="2"/>
                <w:numId w:val="15"/>
              </w:numPr>
              <w:overflowPunct/>
              <w:autoSpaceDE/>
              <w:autoSpaceDN/>
              <w:adjustRightInd/>
              <w:spacing w:after="120" w:line="240" w:lineRule="auto"/>
              <w:ind w:left="2376" w:firstLineChars="0" w:hanging="360"/>
              <w:jc w:val="left"/>
              <w:textAlignment w:val="auto"/>
              <w:rPr>
                <w:rFonts w:eastAsia="宋体"/>
                <w:szCs w:val="24"/>
                <w:lang w:eastAsia="zh-CN"/>
              </w:rPr>
            </w:pPr>
            <w:r w:rsidRPr="00083301">
              <w:rPr>
                <w:rFonts w:eastAsia="宋体"/>
                <w:szCs w:val="24"/>
                <w:lang w:eastAsia="zh-CN"/>
              </w:rPr>
              <w:t xml:space="preserve">Iot-NTN (including eMTC &amp; NB-Iot based): </w:t>
            </w:r>
          </w:p>
          <w:p w14:paraId="6358A2E7" w14:textId="77777777" w:rsidR="002826EC" w:rsidRPr="00083301" w:rsidRDefault="002826EC" w:rsidP="002826EC">
            <w:pPr>
              <w:pStyle w:val="aff6"/>
              <w:numPr>
                <w:ilvl w:val="3"/>
                <w:numId w:val="15"/>
              </w:numPr>
              <w:overflowPunct/>
              <w:autoSpaceDE/>
              <w:autoSpaceDN/>
              <w:adjustRightInd/>
              <w:spacing w:after="120" w:line="240" w:lineRule="auto"/>
              <w:ind w:left="3096" w:firstLineChars="0" w:hanging="360"/>
              <w:jc w:val="left"/>
              <w:textAlignment w:val="auto"/>
              <w:rPr>
                <w:rFonts w:eastAsia="宋体"/>
                <w:szCs w:val="24"/>
                <w:lang w:eastAsia="zh-CN"/>
              </w:rPr>
            </w:pPr>
            <w:r w:rsidRPr="00083301">
              <w:rPr>
                <w:rFonts w:eastAsia="宋体"/>
                <w:szCs w:val="24"/>
                <w:lang w:eastAsia="zh-CN"/>
              </w:rPr>
              <w:t xml:space="preserve">Introduce NR like scheme </w:t>
            </w:r>
          </w:p>
          <w:p w14:paraId="5A6E6D1B" w14:textId="77777777" w:rsidR="002826EC" w:rsidRPr="00083301" w:rsidRDefault="002826EC" w:rsidP="002826EC">
            <w:pPr>
              <w:pStyle w:val="aff6"/>
              <w:numPr>
                <w:ilvl w:val="3"/>
                <w:numId w:val="15"/>
              </w:numPr>
              <w:overflowPunct/>
              <w:autoSpaceDE/>
              <w:autoSpaceDN/>
              <w:adjustRightInd/>
              <w:spacing w:after="120" w:line="240" w:lineRule="auto"/>
              <w:ind w:left="3096" w:firstLineChars="0" w:hanging="360"/>
              <w:jc w:val="left"/>
              <w:textAlignment w:val="auto"/>
              <w:rPr>
                <w:rFonts w:eastAsia="宋体"/>
                <w:szCs w:val="24"/>
                <w:lang w:eastAsia="zh-CN"/>
              </w:rPr>
            </w:pPr>
            <w:r w:rsidRPr="00083301">
              <w:rPr>
                <w:rFonts w:eastAsia="宋体"/>
                <w:szCs w:val="24"/>
                <w:lang w:eastAsia="zh-CN"/>
              </w:rPr>
              <w:t>Introduce other revision / new method as proposed for NR-NTN</w:t>
            </w:r>
          </w:p>
          <w:p w14:paraId="595C81F1" w14:textId="77777777" w:rsidR="002826EC" w:rsidRPr="001341CB" w:rsidRDefault="002826EC" w:rsidP="002826EC">
            <w:pPr>
              <w:pStyle w:val="aff6"/>
              <w:numPr>
                <w:ilvl w:val="1"/>
                <w:numId w:val="15"/>
              </w:numPr>
              <w:overflowPunct/>
              <w:autoSpaceDE/>
              <w:autoSpaceDN/>
              <w:adjustRightInd/>
              <w:spacing w:after="120" w:line="240" w:lineRule="auto"/>
              <w:ind w:left="1440" w:firstLineChars="0" w:hanging="360"/>
              <w:jc w:val="left"/>
              <w:textAlignment w:val="auto"/>
              <w:rPr>
                <w:u w:val="single"/>
                <w:lang w:val="en-US" w:eastAsia="zh-CN"/>
              </w:rPr>
            </w:pPr>
            <w:r w:rsidRPr="001341CB">
              <w:rPr>
                <w:lang w:val="en-US" w:eastAsia="zh-CN"/>
              </w:rPr>
              <w:t> Option3:</w:t>
            </w:r>
            <w:r w:rsidRPr="001341CB">
              <w:rPr>
                <w:u w:val="single"/>
                <w:lang w:val="en-US" w:eastAsia="zh-CN"/>
              </w:rPr>
              <w:t xml:space="preserve"> Do not introduce for NTN </w:t>
            </w:r>
          </w:p>
          <w:p w14:paraId="4CF1F249" w14:textId="77777777" w:rsidR="002826EC" w:rsidRPr="00083301" w:rsidRDefault="002826EC" w:rsidP="002826EC">
            <w:pPr>
              <w:pStyle w:val="aff6"/>
              <w:numPr>
                <w:ilvl w:val="2"/>
                <w:numId w:val="15"/>
              </w:numPr>
              <w:overflowPunct/>
              <w:autoSpaceDE/>
              <w:autoSpaceDN/>
              <w:adjustRightInd/>
              <w:spacing w:after="120" w:line="240" w:lineRule="auto"/>
              <w:ind w:left="2376" w:firstLineChars="0" w:hanging="360"/>
              <w:jc w:val="left"/>
              <w:textAlignment w:val="auto"/>
              <w:rPr>
                <w:rFonts w:eastAsia="宋体"/>
                <w:szCs w:val="24"/>
                <w:lang w:eastAsia="zh-CN"/>
              </w:rPr>
            </w:pPr>
            <w:r w:rsidRPr="00083301">
              <w:rPr>
                <w:rFonts w:eastAsia="宋体"/>
                <w:szCs w:val="24"/>
                <w:lang w:eastAsia="zh-CN"/>
              </w:rPr>
              <w:t>NR NTN</w:t>
            </w:r>
            <w:r w:rsidRPr="00083301">
              <w:rPr>
                <w:rFonts w:eastAsia="宋体"/>
                <w:szCs w:val="24"/>
                <w:lang w:eastAsia="zh-CN"/>
              </w:rPr>
              <w:tab/>
              <w:t>:</w:t>
            </w:r>
            <w:r w:rsidRPr="00083301">
              <w:rPr>
                <w:rFonts w:eastAsia="宋体"/>
                <w:szCs w:val="24"/>
                <w:lang w:eastAsia="zh-CN"/>
              </w:rPr>
              <w:tab/>
              <w:t xml:space="preserve">Explicitly preclude </w:t>
            </w:r>
            <w:r w:rsidRPr="00083301">
              <w:rPr>
                <w:lang w:eastAsia="zh-CN"/>
              </w:rPr>
              <w:t>ΔP</w:t>
            </w:r>
            <w:r w:rsidRPr="00083301">
              <w:rPr>
                <w:vertAlign w:val="subscript"/>
                <w:lang w:eastAsia="zh-CN"/>
              </w:rPr>
              <w:t xml:space="preserve">PowerClass </w:t>
            </w:r>
            <w:r w:rsidRPr="00083301">
              <w:rPr>
                <w:rFonts w:eastAsia="宋体"/>
                <w:szCs w:val="24"/>
                <w:lang w:eastAsia="zh-CN"/>
              </w:rPr>
              <w:t>and no other</w:t>
            </w:r>
            <w:r>
              <w:rPr>
                <w:rFonts w:eastAsia="宋体"/>
                <w:szCs w:val="24"/>
                <w:lang w:eastAsia="zh-CN"/>
              </w:rPr>
              <w:t xml:space="preserve"> duty cycle</w:t>
            </w:r>
            <w:r w:rsidRPr="00083301">
              <w:rPr>
                <w:rFonts w:eastAsia="宋体"/>
                <w:szCs w:val="24"/>
                <w:lang w:eastAsia="zh-CN"/>
              </w:rPr>
              <w:t xml:space="preserve"> </w:t>
            </w:r>
            <w:r w:rsidRPr="00083301">
              <w:rPr>
                <w:rFonts w:eastAsia="宋体" w:hint="eastAsia"/>
                <w:szCs w:val="24"/>
                <w:lang w:eastAsia="zh-CN"/>
              </w:rPr>
              <w:t>related</w:t>
            </w:r>
            <w:r w:rsidRPr="00083301">
              <w:rPr>
                <w:rFonts w:eastAsia="宋体"/>
                <w:szCs w:val="24"/>
                <w:lang w:eastAsia="zh-CN"/>
              </w:rPr>
              <w:t xml:space="preserve"> reference</w:t>
            </w:r>
          </w:p>
          <w:p w14:paraId="78E8BE65" w14:textId="77777777" w:rsidR="002826EC" w:rsidRPr="00083301" w:rsidRDefault="002826EC" w:rsidP="002826EC">
            <w:pPr>
              <w:pStyle w:val="aff6"/>
              <w:numPr>
                <w:ilvl w:val="2"/>
                <w:numId w:val="15"/>
              </w:numPr>
              <w:overflowPunct/>
              <w:autoSpaceDE/>
              <w:autoSpaceDN/>
              <w:adjustRightInd/>
              <w:spacing w:after="120" w:line="240" w:lineRule="auto"/>
              <w:ind w:left="2376" w:firstLineChars="0" w:hanging="360"/>
              <w:jc w:val="left"/>
              <w:textAlignment w:val="auto"/>
              <w:rPr>
                <w:rFonts w:eastAsia="宋体"/>
                <w:szCs w:val="24"/>
                <w:lang w:eastAsia="zh-CN"/>
              </w:rPr>
            </w:pPr>
            <w:r w:rsidRPr="00083301">
              <w:rPr>
                <w:rFonts w:eastAsia="宋体"/>
                <w:szCs w:val="24"/>
                <w:lang w:eastAsia="zh-CN"/>
              </w:rPr>
              <w:t>eMTC-based Iot-NTN:</w:t>
            </w:r>
            <w:r w:rsidRPr="00083301">
              <w:rPr>
                <w:rFonts w:eastAsia="宋体"/>
                <w:szCs w:val="24"/>
                <w:lang w:eastAsia="zh-CN"/>
              </w:rPr>
              <w:tab/>
            </w:r>
            <w:r w:rsidRPr="00083301">
              <w:rPr>
                <w:rFonts w:eastAsia="宋体"/>
                <w:szCs w:val="24"/>
                <w:lang w:eastAsia="zh-CN"/>
              </w:rPr>
              <w:tab/>
              <w:t xml:space="preserve">Explicitly preclude </w:t>
            </w:r>
            <w:r w:rsidRPr="00083301">
              <w:rPr>
                <w:lang w:eastAsia="zh-CN"/>
              </w:rPr>
              <w:t>ΔP</w:t>
            </w:r>
            <w:r w:rsidRPr="00083301">
              <w:rPr>
                <w:vertAlign w:val="subscript"/>
                <w:lang w:eastAsia="zh-CN"/>
              </w:rPr>
              <w:t>PowerClass</w:t>
            </w:r>
            <w:r w:rsidRPr="00083301">
              <w:rPr>
                <w:rFonts w:eastAsia="宋体"/>
                <w:szCs w:val="24"/>
                <w:lang w:eastAsia="zh-CN"/>
              </w:rPr>
              <w:t xml:space="preserve"> and no other </w:t>
            </w:r>
            <w:r>
              <w:rPr>
                <w:rFonts w:eastAsia="宋体"/>
                <w:szCs w:val="24"/>
                <w:lang w:eastAsia="zh-CN"/>
              </w:rPr>
              <w:t>duty cycle</w:t>
            </w:r>
            <w:r w:rsidRPr="00083301">
              <w:rPr>
                <w:rFonts w:eastAsia="宋体"/>
                <w:szCs w:val="24"/>
                <w:lang w:eastAsia="zh-CN"/>
              </w:rPr>
              <w:t xml:space="preserve"> </w:t>
            </w:r>
            <w:r w:rsidRPr="00083301">
              <w:rPr>
                <w:rFonts w:eastAsia="宋体" w:hint="eastAsia"/>
                <w:szCs w:val="24"/>
                <w:lang w:eastAsia="zh-CN"/>
              </w:rPr>
              <w:t>related</w:t>
            </w:r>
            <w:r w:rsidRPr="00083301">
              <w:rPr>
                <w:rFonts w:eastAsia="宋体"/>
                <w:szCs w:val="24"/>
                <w:lang w:eastAsia="zh-CN"/>
              </w:rPr>
              <w:t xml:space="preserve"> reference</w:t>
            </w:r>
          </w:p>
          <w:p w14:paraId="13DD2DC4" w14:textId="77777777" w:rsidR="002826EC" w:rsidRPr="00083301" w:rsidRDefault="002826EC" w:rsidP="002826EC">
            <w:pPr>
              <w:pStyle w:val="aff6"/>
              <w:numPr>
                <w:ilvl w:val="2"/>
                <w:numId w:val="15"/>
              </w:numPr>
              <w:overflowPunct/>
              <w:autoSpaceDE/>
              <w:autoSpaceDN/>
              <w:adjustRightInd/>
              <w:spacing w:after="120" w:line="240" w:lineRule="auto"/>
              <w:ind w:left="2376" w:firstLineChars="0" w:hanging="360"/>
              <w:jc w:val="left"/>
              <w:textAlignment w:val="auto"/>
              <w:rPr>
                <w:rFonts w:eastAsia="宋体"/>
                <w:szCs w:val="24"/>
                <w:lang w:eastAsia="zh-CN"/>
              </w:rPr>
            </w:pPr>
            <w:r w:rsidRPr="00083301">
              <w:rPr>
                <w:rFonts w:eastAsia="宋体"/>
                <w:szCs w:val="24"/>
                <w:lang w:eastAsia="zh-CN"/>
              </w:rPr>
              <w:t>NB-Iot based Iot-NTN:</w:t>
            </w:r>
            <w:r w:rsidRPr="00083301">
              <w:rPr>
                <w:rFonts w:eastAsia="宋体"/>
                <w:szCs w:val="24"/>
                <w:lang w:eastAsia="zh-CN"/>
              </w:rPr>
              <w:tab/>
            </w:r>
            <w:r w:rsidRPr="00083301">
              <w:rPr>
                <w:rFonts w:eastAsia="宋体"/>
                <w:szCs w:val="24"/>
                <w:lang w:eastAsia="zh-CN"/>
              </w:rPr>
              <w:tab/>
              <w:t>No duty cycle or other new scheme defined</w:t>
            </w:r>
          </w:p>
          <w:p w14:paraId="08009C7A" w14:textId="1DCDB8A9" w:rsidR="00F46AA3" w:rsidRPr="002826EC" w:rsidRDefault="00F46AA3" w:rsidP="00F46AA3">
            <w:pPr>
              <w:rPr>
                <w:b/>
                <w:bCs/>
                <w:lang w:eastAsia="zh-CN"/>
              </w:rPr>
            </w:pPr>
          </w:p>
        </w:tc>
      </w:tr>
    </w:tbl>
    <w:p w14:paraId="6E204A7E" w14:textId="2E29CF4D" w:rsidR="00F46AA3" w:rsidRDefault="007A2DD4" w:rsidP="009D27F8">
      <w:pPr>
        <w:rPr>
          <w:lang w:eastAsia="zh-CN"/>
        </w:rPr>
      </w:pPr>
      <w:r w:rsidRPr="007A2DD4">
        <w:rPr>
          <w:lang w:eastAsia="zh-CN"/>
        </w:rPr>
        <w:lastRenderedPageBreak/>
        <w:t>The P-MPR scheme remains preferable due to its mature standardization in 3GPP since Rel-15, ensuring direct NTN compatibility. Its implementation simplicity leverages UE-local sensor data (e.g., proximity/temperature) and autonomous power adjustments, eliminating network coordination needs—critical for NTN’s high-latency FDD environments. The framework supports dynamic power optimization (e.g., per-slot backoff) for coverage enhancement. Additionally, existing SAR/MPE testing standards (TS 37.145) already validate P-MPR, avoiding costly redefinition of test cases required by alternative approaches.</w:t>
      </w:r>
    </w:p>
    <w:p w14:paraId="1502776B" w14:textId="33131CFE" w:rsidR="00F03489" w:rsidRPr="007A2DD4" w:rsidRDefault="00F03489" w:rsidP="009D27F8">
      <w:pPr>
        <w:rPr>
          <w:lang w:eastAsia="zh-CN"/>
        </w:rPr>
      </w:pPr>
      <w:r>
        <w:rPr>
          <w:rFonts w:hint="eastAsia"/>
          <w:lang w:eastAsia="zh-CN"/>
        </w:rPr>
        <w:t>B</w:t>
      </w:r>
      <w:r>
        <w:rPr>
          <w:lang w:eastAsia="zh-CN"/>
        </w:rPr>
        <w:t>asic on the current options</w:t>
      </w:r>
      <w:r w:rsidR="00B13CDE">
        <w:rPr>
          <w:lang w:eastAsia="zh-CN"/>
        </w:rPr>
        <w:t xml:space="preserve">, </w:t>
      </w:r>
      <w:r>
        <w:rPr>
          <w:lang w:eastAsia="zh-CN"/>
        </w:rPr>
        <w:t>there is no perfect way to replace the P-MPR for FDD SAR issue by duty cycle solutions.</w:t>
      </w:r>
      <w:r w:rsidR="00B13CDE">
        <w:rPr>
          <w:lang w:eastAsia="zh-CN"/>
        </w:rPr>
        <w:t xml:space="preserve"> Duty cycle need to determine the UL time percentage of UE, but how to determine the time percentage would be a big issue for 3GPP. Duty cycle solution can reduce the average SAR, however, the peak SAR or maximum SAR still same </w:t>
      </w:r>
      <w:r w:rsidR="00B13CDE">
        <w:rPr>
          <w:lang w:eastAsia="zh-CN"/>
        </w:rPr>
        <w:lastRenderedPageBreak/>
        <w:t xml:space="preserve">with previous. It means </w:t>
      </w:r>
      <w:r w:rsidR="00B13CDE" w:rsidRPr="00B13CDE">
        <w:rPr>
          <w:lang w:eastAsia="zh-CN"/>
        </w:rPr>
        <w:t>during time slots involving high-power transmission over a short period, the SAR in local areas (such as the antenna position close to the head) may still exceed the standard.</w:t>
      </w:r>
      <w:r w:rsidR="00B13CDE">
        <w:rPr>
          <w:lang w:eastAsia="zh-CN"/>
        </w:rPr>
        <w:t xml:space="preserve"> Only P-MPR solution can cover both average and peak SAR at the same time. </w:t>
      </w:r>
    </w:p>
    <w:p w14:paraId="6BCC30C8" w14:textId="5116C0AC" w:rsidR="00F46AA3" w:rsidRDefault="00E713C0" w:rsidP="00F916C1">
      <w:pPr>
        <w:rPr>
          <w:rFonts w:eastAsiaTheme="minorEastAsia"/>
          <w:b/>
          <w:bCs/>
          <w:lang w:eastAsia="zh-CN"/>
        </w:rPr>
      </w:pPr>
      <w:r w:rsidRPr="00E713C0">
        <w:rPr>
          <w:rFonts w:eastAsiaTheme="minorEastAsia"/>
          <w:b/>
          <w:bCs/>
          <w:lang w:eastAsia="zh-CN"/>
        </w:rPr>
        <w:t xml:space="preserve">Proposal </w:t>
      </w:r>
      <w:r w:rsidR="00027809">
        <w:rPr>
          <w:rFonts w:eastAsiaTheme="minorEastAsia"/>
          <w:b/>
          <w:bCs/>
          <w:lang w:eastAsia="zh-CN"/>
        </w:rPr>
        <w:t>3</w:t>
      </w:r>
      <w:r w:rsidRPr="00E713C0">
        <w:rPr>
          <w:rFonts w:eastAsiaTheme="minorEastAsia"/>
          <w:b/>
          <w:bCs/>
          <w:lang w:eastAsia="zh-CN"/>
        </w:rPr>
        <w:t>: To not define any duty</w:t>
      </w:r>
      <w:r w:rsidR="00B13CDE">
        <w:rPr>
          <w:rFonts w:eastAsiaTheme="minorEastAsia"/>
          <w:b/>
          <w:bCs/>
          <w:lang w:eastAsia="zh-CN"/>
        </w:rPr>
        <w:t>-</w:t>
      </w:r>
      <w:r w:rsidRPr="00E713C0">
        <w:rPr>
          <w:rFonts w:eastAsiaTheme="minorEastAsia"/>
          <w:b/>
          <w:bCs/>
          <w:lang w:eastAsia="zh-CN"/>
        </w:rPr>
        <w:t>cycle based SAR solution, and to use the baseline P-MPR method</w:t>
      </w:r>
      <w:r w:rsidR="00F46AA3" w:rsidRPr="00F46AA3">
        <w:rPr>
          <w:rFonts w:eastAsiaTheme="minorEastAsia"/>
          <w:b/>
          <w:bCs/>
          <w:lang w:eastAsia="zh-CN"/>
        </w:rPr>
        <w:t>.</w:t>
      </w:r>
    </w:p>
    <w:p w14:paraId="2FE48129" w14:textId="567D2B01" w:rsidR="004D4AD9" w:rsidRDefault="000F259D" w:rsidP="0071684C">
      <w:pPr>
        <w:pStyle w:val="1"/>
        <w:numPr>
          <w:ilvl w:val="0"/>
          <w:numId w:val="4"/>
        </w:numPr>
        <w:rPr>
          <w:lang w:val="en-GB" w:eastAsia="ja-JP"/>
        </w:rPr>
      </w:pPr>
      <w:r w:rsidRPr="0071684C">
        <w:rPr>
          <w:rFonts w:hint="eastAsia"/>
          <w:lang w:val="en-GB" w:eastAsia="ja-JP"/>
        </w:rPr>
        <w:t>Conclusion</w:t>
      </w:r>
    </w:p>
    <w:p w14:paraId="774DF97F" w14:textId="0912F23B" w:rsidR="00F67874" w:rsidRDefault="00F67874" w:rsidP="00F67874">
      <w:pPr>
        <w:rPr>
          <w:szCs w:val="21"/>
          <w:lang w:val="sv-SE"/>
        </w:rPr>
      </w:pPr>
      <w:r w:rsidRPr="00F67874">
        <w:rPr>
          <w:rFonts w:hint="eastAsia"/>
          <w:lang w:val="sv-SE"/>
        </w:rPr>
        <w:t>I</w:t>
      </w:r>
      <w:r w:rsidRPr="00F67874">
        <w:rPr>
          <w:lang w:val="sv-SE"/>
        </w:rPr>
        <w:t>n this contribution, views on remaining open issues were provi</w:t>
      </w:r>
      <w:r w:rsidRPr="00F67874">
        <w:rPr>
          <w:szCs w:val="21"/>
          <w:lang w:val="sv-SE"/>
        </w:rPr>
        <w:t xml:space="preserve">ded. </w:t>
      </w:r>
    </w:p>
    <w:p w14:paraId="642024CD" w14:textId="0A812B31" w:rsidR="00E713C0" w:rsidRPr="00E713C0" w:rsidRDefault="00E713C0" w:rsidP="00E713C0">
      <w:pPr>
        <w:rPr>
          <w:b/>
          <w:bCs/>
        </w:rPr>
      </w:pPr>
      <w:r w:rsidRPr="00E713C0">
        <w:rPr>
          <w:rFonts w:hint="eastAsia"/>
          <w:b/>
          <w:bCs/>
        </w:rPr>
        <w:t>P</w:t>
      </w:r>
      <w:r w:rsidRPr="00E713C0">
        <w:rPr>
          <w:b/>
          <w:bCs/>
        </w:rPr>
        <w:t xml:space="preserve">roposal 1: For PC1 </w:t>
      </w:r>
      <w:r w:rsidRPr="00E713C0">
        <w:rPr>
          <w:b/>
          <w:lang w:eastAsia="ko-KR"/>
        </w:rPr>
        <w:t>eMTC based Iot-NTN HPUE</w:t>
      </w:r>
      <w:r w:rsidRPr="00E713C0">
        <w:rPr>
          <w:b/>
          <w:bCs/>
        </w:rPr>
        <w:t xml:space="preserve"> ACLR can be determine as 3</w:t>
      </w:r>
      <w:r w:rsidR="002826EC">
        <w:rPr>
          <w:b/>
          <w:bCs/>
        </w:rPr>
        <w:t>4</w:t>
      </w:r>
      <w:r w:rsidRPr="00E713C0">
        <w:rPr>
          <w:b/>
          <w:bCs/>
        </w:rPr>
        <w:t>dB</w:t>
      </w:r>
      <w:r w:rsidRPr="00E713C0">
        <w:rPr>
          <w:rFonts w:hint="eastAsia"/>
          <w:b/>
          <w:bCs/>
          <w:lang w:eastAsia="zh-CN"/>
        </w:rPr>
        <w:t>c</w:t>
      </w:r>
    </w:p>
    <w:p w14:paraId="25607D20" w14:textId="77777777" w:rsidR="00E713C0" w:rsidRDefault="00E713C0" w:rsidP="00E713C0">
      <w:pPr>
        <w:rPr>
          <w:rFonts w:eastAsiaTheme="minorEastAsia"/>
          <w:b/>
          <w:bCs/>
          <w:lang w:eastAsia="zh-CN"/>
        </w:rPr>
      </w:pPr>
      <w:r w:rsidRPr="00C51546">
        <w:rPr>
          <w:rFonts w:eastAsiaTheme="minorEastAsia" w:hint="eastAsia"/>
          <w:b/>
          <w:bCs/>
          <w:lang w:eastAsia="zh-CN"/>
        </w:rPr>
        <w:t>P</w:t>
      </w:r>
      <w:r w:rsidRPr="00C51546">
        <w:rPr>
          <w:rFonts w:eastAsiaTheme="minorEastAsia"/>
          <w:b/>
          <w:bCs/>
          <w:lang w:eastAsia="zh-CN"/>
        </w:rPr>
        <w:t xml:space="preserve">roposal </w:t>
      </w:r>
      <w:r>
        <w:rPr>
          <w:rFonts w:eastAsiaTheme="minorEastAsia"/>
          <w:b/>
          <w:bCs/>
          <w:lang w:eastAsia="zh-CN"/>
        </w:rPr>
        <w:t>2</w:t>
      </w:r>
      <w:r w:rsidRPr="00C51546">
        <w:rPr>
          <w:rFonts w:eastAsiaTheme="minorEastAsia"/>
          <w:b/>
          <w:bCs/>
          <w:lang w:eastAsia="zh-CN"/>
        </w:rPr>
        <w:t>: RAN4 should consider P-MPR for both handheld UEs and non-handheld UEs</w:t>
      </w:r>
    </w:p>
    <w:p w14:paraId="05B5FB5B" w14:textId="69840D13" w:rsidR="00E713C0" w:rsidRDefault="00E713C0" w:rsidP="00E713C0">
      <w:pPr>
        <w:rPr>
          <w:rFonts w:eastAsiaTheme="minorEastAsia"/>
          <w:b/>
          <w:bCs/>
          <w:lang w:eastAsia="zh-CN"/>
        </w:rPr>
      </w:pPr>
      <w:r w:rsidRPr="00E713C0">
        <w:rPr>
          <w:rFonts w:eastAsiaTheme="minorEastAsia"/>
          <w:b/>
          <w:bCs/>
          <w:lang w:eastAsia="zh-CN"/>
        </w:rPr>
        <w:t xml:space="preserve">Proposal </w:t>
      </w:r>
      <w:r w:rsidR="00027809">
        <w:rPr>
          <w:rFonts w:eastAsiaTheme="minorEastAsia"/>
          <w:b/>
          <w:bCs/>
          <w:lang w:eastAsia="zh-CN"/>
        </w:rPr>
        <w:t>3</w:t>
      </w:r>
      <w:r w:rsidRPr="00E713C0">
        <w:rPr>
          <w:rFonts w:eastAsiaTheme="minorEastAsia"/>
          <w:b/>
          <w:bCs/>
          <w:lang w:eastAsia="zh-CN"/>
        </w:rPr>
        <w:t xml:space="preserve">: To not define any duty </w:t>
      </w:r>
      <w:proofErr w:type="gramStart"/>
      <w:r w:rsidRPr="00E713C0">
        <w:rPr>
          <w:rFonts w:eastAsiaTheme="minorEastAsia"/>
          <w:b/>
          <w:bCs/>
          <w:lang w:eastAsia="zh-CN"/>
        </w:rPr>
        <w:t>cycle based</w:t>
      </w:r>
      <w:proofErr w:type="gramEnd"/>
      <w:r w:rsidRPr="00E713C0">
        <w:rPr>
          <w:rFonts w:eastAsiaTheme="minorEastAsia"/>
          <w:b/>
          <w:bCs/>
          <w:lang w:eastAsia="zh-CN"/>
        </w:rPr>
        <w:t xml:space="preserve"> SAR solution, and to use the baseline P-MPR method</w:t>
      </w:r>
      <w:r w:rsidRPr="00F46AA3">
        <w:rPr>
          <w:rFonts w:eastAsiaTheme="minorEastAsia"/>
          <w:b/>
          <w:bCs/>
          <w:lang w:eastAsia="zh-CN"/>
        </w:rPr>
        <w:t>.</w:t>
      </w:r>
    </w:p>
    <w:p w14:paraId="36E37D9A" w14:textId="77777777" w:rsidR="009A3012" w:rsidRPr="000B2AFD" w:rsidRDefault="009A3012" w:rsidP="00F67874">
      <w:pPr>
        <w:rPr>
          <w:szCs w:val="21"/>
        </w:rPr>
      </w:pP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45EB903F" w14:textId="026CA8FB" w:rsidR="00027809" w:rsidRPr="00027809" w:rsidRDefault="006E0CAF" w:rsidP="00027809">
      <w:pPr>
        <w:ind w:left="1985" w:hanging="1985"/>
      </w:pPr>
      <w:r>
        <w:t>[</w:t>
      </w:r>
      <w:r w:rsidR="005E1368">
        <w:t>1</w:t>
      </w:r>
      <w:r>
        <w:t xml:space="preserve">] </w:t>
      </w:r>
      <w:r w:rsidR="00027809" w:rsidRPr="00027809">
        <w:t>R4-2508122</w:t>
      </w:r>
      <w:r w:rsidR="00F67874">
        <w:t xml:space="preserve">, </w:t>
      </w:r>
      <w:r w:rsidR="00027809" w:rsidRPr="00027809">
        <w:t>WF on IoT-NTN HPUE</w:t>
      </w:r>
      <w:r w:rsidR="00027809">
        <w:t>, vivo</w:t>
      </w:r>
    </w:p>
    <w:p w14:paraId="2DD6CE7B" w14:textId="7909A92F" w:rsidR="00D62546" w:rsidRPr="00027809" w:rsidRDefault="00D62546" w:rsidP="004F652D">
      <w:pPr>
        <w:rPr>
          <w:lang w:val="en-CA"/>
        </w:rPr>
      </w:pPr>
    </w:p>
    <w:sectPr w:rsidR="00D62546" w:rsidRPr="0002780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963C9" w14:textId="77777777" w:rsidR="00C80C68" w:rsidRDefault="00C80C68" w:rsidP="00FC2656">
      <w:r>
        <w:separator/>
      </w:r>
    </w:p>
  </w:endnote>
  <w:endnote w:type="continuationSeparator" w:id="0">
    <w:p w14:paraId="4E32976C" w14:textId="77777777" w:rsidR="00C80C68" w:rsidRDefault="00C80C68" w:rsidP="00F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566EE" w14:textId="77777777" w:rsidR="00C80C68" w:rsidRDefault="00C80C68" w:rsidP="00FC2656">
      <w:r>
        <w:separator/>
      </w:r>
    </w:p>
  </w:footnote>
  <w:footnote w:type="continuationSeparator" w:id="0">
    <w:p w14:paraId="21472131" w14:textId="77777777" w:rsidR="00C80C68" w:rsidRDefault="00C80C68" w:rsidP="00FC2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0C87C41"/>
    <w:multiLevelType w:val="hybridMultilevel"/>
    <w:tmpl w:val="38CC7C5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925C6A"/>
    <w:multiLevelType w:val="hybridMultilevel"/>
    <w:tmpl w:val="A9B40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462021B"/>
    <w:multiLevelType w:val="hybridMultilevel"/>
    <w:tmpl w:val="6CE2850A"/>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24935665"/>
    <w:multiLevelType w:val="hybridMultilevel"/>
    <w:tmpl w:val="5B566404"/>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DA22B1"/>
    <w:multiLevelType w:val="hybridMultilevel"/>
    <w:tmpl w:val="1CB4A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E54C89"/>
    <w:multiLevelType w:val="hybridMultilevel"/>
    <w:tmpl w:val="F6DE4E78"/>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171FE9"/>
    <w:multiLevelType w:val="hybridMultilevel"/>
    <w:tmpl w:val="E4A638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0326EE"/>
    <w:multiLevelType w:val="hybridMultilevel"/>
    <w:tmpl w:val="60DC3164"/>
    <w:lvl w:ilvl="0" w:tplc="04090001">
      <w:start w:val="1"/>
      <w:numFmt w:val="bullet"/>
      <w:lvlText w:val=""/>
      <w:lvlJc w:val="left"/>
      <w:pPr>
        <w:ind w:left="767" w:hanging="480"/>
      </w:pPr>
      <w:rPr>
        <w:rFonts w:ascii="Wingdings" w:hAnsi="Wingdings" w:hint="default"/>
      </w:rPr>
    </w:lvl>
    <w:lvl w:ilvl="1" w:tplc="04090003" w:tentative="1">
      <w:start w:val="1"/>
      <w:numFmt w:val="bullet"/>
      <w:lvlText w:val=""/>
      <w:lvlJc w:val="left"/>
      <w:pPr>
        <w:ind w:left="1247" w:hanging="480"/>
      </w:pPr>
      <w:rPr>
        <w:rFonts w:ascii="Wingdings" w:hAnsi="Wingdings" w:hint="default"/>
      </w:rPr>
    </w:lvl>
    <w:lvl w:ilvl="2" w:tplc="04090005" w:tentative="1">
      <w:start w:val="1"/>
      <w:numFmt w:val="bullet"/>
      <w:lvlText w:val=""/>
      <w:lvlJc w:val="left"/>
      <w:pPr>
        <w:ind w:left="1727" w:hanging="480"/>
      </w:pPr>
      <w:rPr>
        <w:rFonts w:ascii="Wingdings" w:hAnsi="Wingdings" w:hint="default"/>
      </w:rPr>
    </w:lvl>
    <w:lvl w:ilvl="3" w:tplc="04090001" w:tentative="1">
      <w:start w:val="1"/>
      <w:numFmt w:val="bullet"/>
      <w:lvlText w:val=""/>
      <w:lvlJc w:val="left"/>
      <w:pPr>
        <w:ind w:left="2207" w:hanging="480"/>
      </w:pPr>
      <w:rPr>
        <w:rFonts w:ascii="Wingdings" w:hAnsi="Wingdings" w:hint="default"/>
      </w:rPr>
    </w:lvl>
    <w:lvl w:ilvl="4" w:tplc="04090003" w:tentative="1">
      <w:start w:val="1"/>
      <w:numFmt w:val="bullet"/>
      <w:lvlText w:val=""/>
      <w:lvlJc w:val="left"/>
      <w:pPr>
        <w:ind w:left="2687" w:hanging="480"/>
      </w:pPr>
      <w:rPr>
        <w:rFonts w:ascii="Wingdings" w:hAnsi="Wingdings" w:hint="default"/>
      </w:rPr>
    </w:lvl>
    <w:lvl w:ilvl="5" w:tplc="04090005" w:tentative="1">
      <w:start w:val="1"/>
      <w:numFmt w:val="bullet"/>
      <w:lvlText w:val=""/>
      <w:lvlJc w:val="left"/>
      <w:pPr>
        <w:ind w:left="3167" w:hanging="480"/>
      </w:pPr>
      <w:rPr>
        <w:rFonts w:ascii="Wingdings" w:hAnsi="Wingdings" w:hint="default"/>
      </w:rPr>
    </w:lvl>
    <w:lvl w:ilvl="6" w:tplc="04090001" w:tentative="1">
      <w:start w:val="1"/>
      <w:numFmt w:val="bullet"/>
      <w:lvlText w:val=""/>
      <w:lvlJc w:val="left"/>
      <w:pPr>
        <w:ind w:left="3647" w:hanging="480"/>
      </w:pPr>
      <w:rPr>
        <w:rFonts w:ascii="Wingdings" w:hAnsi="Wingdings" w:hint="default"/>
      </w:rPr>
    </w:lvl>
    <w:lvl w:ilvl="7" w:tplc="04090003" w:tentative="1">
      <w:start w:val="1"/>
      <w:numFmt w:val="bullet"/>
      <w:lvlText w:val=""/>
      <w:lvlJc w:val="left"/>
      <w:pPr>
        <w:ind w:left="4127" w:hanging="480"/>
      </w:pPr>
      <w:rPr>
        <w:rFonts w:ascii="Wingdings" w:hAnsi="Wingdings" w:hint="default"/>
      </w:rPr>
    </w:lvl>
    <w:lvl w:ilvl="8" w:tplc="04090005" w:tentative="1">
      <w:start w:val="1"/>
      <w:numFmt w:val="bullet"/>
      <w:lvlText w:val=""/>
      <w:lvlJc w:val="left"/>
      <w:pPr>
        <w:ind w:left="4607" w:hanging="480"/>
      </w:pPr>
      <w:rPr>
        <w:rFonts w:ascii="Wingdings" w:hAnsi="Wingdings" w:hint="default"/>
      </w:rPr>
    </w:lvl>
  </w:abstractNum>
  <w:abstractNum w:abstractNumId="16"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621B5E"/>
    <w:multiLevelType w:val="hybridMultilevel"/>
    <w:tmpl w:val="402E875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BC64C1C"/>
    <w:multiLevelType w:val="hybridMultilevel"/>
    <w:tmpl w:val="2514B8D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DE3636E"/>
    <w:multiLevelType w:val="hybridMultilevel"/>
    <w:tmpl w:val="6C8EE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435860"/>
    <w:multiLevelType w:val="hybridMultilevel"/>
    <w:tmpl w:val="FD483D4C"/>
    <w:lvl w:ilvl="0" w:tplc="6486C5AC">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367DCD"/>
    <w:multiLevelType w:val="hybridMultilevel"/>
    <w:tmpl w:val="C26893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E357AD"/>
    <w:multiLevelType w:val="hybridMultilevel"/>
    <w:tmpl w:val="C3A063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8C1E3D"/>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27432E"/>
    <w:multiLevelType w:val="hybridMultilevel"/>
    <w:tmpl w:val="0A220ECA"/>
    <w:lvl w:ilvl="0" w:tplc="D3389564">
      <w:start w:val="1"/>
      <w:numFmt w:val="bullet"/>
      <w:lvlText w:val=""/>
      <w:lvlJc w:val="left"/>
      <w:pPr>
        <w:tabs>
          <w:tab w:val="num" w:pos="720"/>
        </w:tabs>
        <w:ind w:left="720" w:hanging="360"/>
      </w:pPr>
      <w:rPr>
        <w:rFonts w:ascii="Wingdings" w:hAnsi="Wingdings" w:hint="default"/>
      </w:rPr>
    </w:lvl>
    <w:lvl w:ilvl="1" w:tplc="92B48F64" w:tentative="1">
      <w:start w:val="1"/>
      <w:numFmt w:val="bullet"/>
      <w:lvlText w:val=""/>
      <w:lvlJc w:val="left"/>
      <w:pPr>
        <w:tabs>
          <w:tab w:val="num" w:pos="1440"/>
        </w:tabs>
        <w:ind w:left="1440" w:hanging="360"/>
      </w:pPr>
      <w:rPr>
        <w:rFonts w:ascii="Wingdings" w:hAnsi="Wingdings" w:hint="default"/>
      </w:rPr>
    </w:lvl>
    <w:lvl w:ilvl="2" w:tplc="82FA1BDA" w:tentative="1">
      <w:start w:val="1"/>
      <w:numFmt w:val="bullet"/>
      <w:lvlText w:val=""/>
      <w:lvlJc w:val="left"/>
      <w:pPr>
        <w:tabs>
          <w:tab w:val="num" w:pos="2160"/>
        </w:tabs>
        <w:ind w:left="2160" w:hanging="360"/>
      </w:pPr>
      <w:rPr>
        <w:rFonts w:ascii="Wingdings" w:hAnsi="Wingdings" w:hint="default"/>
      </w:rPr>
    </w:lvl>
    <w:lvl w:ilvl="3" w:tplc="D50E1CF2" w:tentative="1">
      <w:start w:val="1"/>
      <w:numFmt w:val="bullet"/>
      <w:lvlText w:val=""/>
      <w:lvlJc w:val="left"/>
      <w:pPr>
        <w:tabs>
          <w:tab w:val="num" w:pos="2880"/>
        </w:tabs>
        <w:ind w:left="2880" w:hanging="360"/>
      </w:pPr>
      <w:rPr>
        <w:rFonts w:ascii="Wingdings" w:hAnsi="Wingdings" w:hint="default"/>
      </w:rPr>
    </w:lvl>
    <w:lvl w:ilvl="4" w:tplc="B7E8F262" w:tentative="1">
      <w:start w:val="1"/>
      <w:numFmt w:val="bullet"/>
      <w:lvlText w:val=""/>
      <w:lvlJc w:val="left"/>
      <w:pPr>
        <w:tabs>
          <w:tab w:val="num" w:pos="3600"/>
        </w:tabs>
        <w:ind w:left="3600" w:hanging="360"/>
      </w:pPr>
      <w:rPr>
        <w:rFonts w:ascii="Wingdings" w:hAnsi="Wingdings" w:hint="default"/>
      </w:rPr>
    </w:lvl>
    <w:lvl w:ilvl="5" w:tplc="61324AA0" w:tentative="1">
      <w:start w:val="1"/>
      <w:numFmt w:val="bullet"/>
      <w:lvlText w:val=""/>
      <w:lvlJc w:val="left"/>
      <w:pPr>
        <w:tabs>
          <w:tab w:val="num" w:pos="4320"/>
        </w:tabs>
        <w:ind w:left="4320" w:hanging="360"/>
      </w:pPr>
      <w:rPr>
        <w:rFonts w:ascii="Wingdings" w:hAnsi="Wingdings" w:hint="default"/>
      </w:rPr>
    </w:lvl>
    <w:lvl w:ilvl="6" w:tplc="4D0E89C6" w:tentative="1">
      <w:start w:val="1"/>
      <w:numFmt w:val="bullet"/>
      <w:lvlText w:val=""/>
      <w:lvlJc w:val="left"/>
      <w:pPr>
        <w:tabs>
          <w:tab w:val="num" w:pos="5040"/>
        </w:tabs>
        <w:ind w:left="5040" w:hanging="360"/>
      </w:pPr>
      <w:rPr>
        <w:rFonts w:ascii="Wingdings" w:hAnsi="Wingdings" w:hint="default"/>
      </w:rPr>
    </w:lvl>
    <w:lvl w:ilvl="7" w:tplc="1B76DB52" w:tentative="1">
      <w:start w:val="1"/>
      <w:numFmt w:val="bullet"/>
      <w:lvlText w:val=""/>
      <w:lvlJc w:val="left"/>
      <w:pPr>
        <w:tabs>
          <w:tab w:val="num" w:pos="5760"/>
        </w:tabs>
        <w:ind w:left="5760" w:hanging="360"/>
      </w:pPr>
      <w:rPr>
        <w:rFonts w:ascii="Wingdings" w:hAnsi="Wingdings" w:hint="default"/>
      </w:rPr>
    </w:lvl>
    <w:lvl w:ilvl="8" w:tplc="62D8728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33" w15:restartNumberingAfterBreak="0">
    <w:nsid w:val="6C5410AB"/>
    <w:multiLevelType w:val="hybridMultilevel"/>
    <w:tmpl w:val="52ECB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19"/>
  </w:num>
  <w:num w:numId="2">
    <w:abstractNumId w:val="30"/>
  </w:num>
  <w:num w:numId="3">
    <w:abstractNumId w:val="0"/>
  </w:num>
  <w:num w:numId="4">
    <w:abstractNumId w:val="25"/>
  </w:num>
  <w:num w:numId="5">
    <w:abstractNumId w:val="32"/>
  </w:num>
  <w:num w:numId="6">
    <w:abstractNumId w:val="13"/>
  </w:num>
  <w:num w:numId="7">
    <w:abstractNumId w:val="33"/>
  </w:num>
  <w:num w:numId="8">
    <w:abstractNumId w:val="18"/>
  </w:num>
  <w:num w:numId="9">
    <w:abstractNumId w:val="14"/>
  </w:num>
  <w:num w:numId="10">
    <w:abstractNumId w:val="16"/>
  </w:num>
  <w:num w:numId="11">
    <w:abstractNumId w:val="11"/>
  </w:num>
  <w:num w:numId="12">
    <w:abstractNumId w:val="34"/>
  </w:num>
  <w:num w:numId="13">
    <w:abstractNumId w:val="24"/>
  </w:num>
  <w:num w:numId="14">
    <w:abstractNumId w:val="29"/>
  </w:num>
  <w:num w:numId="15">
    <w:abstractNumId w:val="28"/>
  </w:num>
  <w:num w:numId="16">
    <w:abstractNumId w:val="8"/>
  </w:num>
  <w:num w:numId="17">
    <w:abstractNumId w:val="4"/>
  </w:num>
  <w:num w:numId="18">
    <w:abstractNumId w:val="5"/>
  </w:num>
  <w:num w:numId="19">
    <w:abstractNumId w:val="26"/>
  </w:num>
  <w:num w:numId="20">
    <w:abstractNumId w:val="28"/>
  </w:num>
  <w:num w:numId="21">
    <w:abstractNumId w:val="23"/>
  </w:num>
  <w:num w:numId="22">
    <w:abstractNumId w:val="12"/>
  </w:num>
  <w:num w:numId="23">
    <w:abstractNumId w:val="15"/>
  </w:num>
  <w:num w:numId="24">
    <w:abstractNumId w:val="28"/>
  </w:num>
  <w:num w:numId="25">
    <w:abstractNumId w:val="2"/>
  </w:num>
  <w:num w:numId="26">
    <w:abstractNumId w:val="31"/>
  </w:num>
  <w:num w:numId="27">
    <w:abstractNumId w:val="1"/>
  </w:num>
  <w:num w:numId="28">
    <w:abstractNumId w:val="0"/>
  </w:num>
  <w:num w:numId="29">
    <w:abstractNumId w:val="10"/>
  </w:num>
  <w:num w:numId="30">
    <w:abstractNumId w:val="21"/>
  </w:num>
  <w:num w:numId="31">
    <w:abstractNumId w:val="20"/>
  </w:num>
  <w:num w:numId="32">
    <w:abstractNumId w:val="3"/>
  </w:num>
  <w:num w:numId="33">
    <w:abstractNumId w:val="17"/>
  </w:num>
  <w:num w:numId="34">
    <w:abstractNumId w:val="9"/>
  </w:num>
  <w:num w:numId="35">
    <w:abstractNumId w:val="28"/>
  </w:num>
  <w:num w:numId="36">
    <w:abstractNumId w:val="28"/>
  </w:num>
  <w:num w:numId="37">
    <w:abstractNumId w:val="7"/>
  </w:num>
  <w:num w:numId="38">
    <w:abstractNumId w:val="6"/>
  </w:num>
  <w:num w:numId="39">
    <w:abstractNumId w:val="27"/>
  </w:num>
  <w:num w:numId="40">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0D87"/>
    <w:rsid w:val="000212C3"/>
    <w:rsid w:val="00024F0D"/>
    <w:rsid w:val="00026ACC"/>
    <w:rsid w:val="00027809"/>
    <w:rsid w:val="00030B9D"/>
    <w:rsid w:val="0003171D"/>
    <w:rsid w:val="00031C1D"/>
    <w:rsid w:val="00032320"/>
    <w:rsid w:val="000354B4"/>
    <w:rsid w:val="00035C50"/>
    <w:rsid w:val="000457A1"/>
    <w:rsid w:val="00047C6A"/>
    <w:rsid w:val="00050001"/>
    <w:rsid w:val="00052041"/>
    <w:rsid w:val="0005326A"/>
    <w:rsid w:val="0005447B"/>
    <w:rsid w:val="00056590"/>
    <w:rsid w:val="00061068"/>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AFD"/>
    <w:rsid w:val="000B2EE5"/>
    <w:rsid w:val="000B2EF6"/>
    <w:rsid w:val="000B2FA6"/>
    <w:rsid w:val="000B448A"/>
    <w:rsid w:val="000B4AA0"/>
    <w:rsid w:val="000C2553"/>
    <w:rsid w:val="000C38C3"/>
    <w:rsid w:val="000C5C42"/>
    <w:rsid w:val="000C758B"/>
    <w:rsid w:val="000C75FE"/>
    <w:rsid w:val="000D09FD"/>
    <w:rsid w:val="000D0F50"/>
    <w:rsid w:val="000D1436"/>
    <w:rsid w:val="000D41EA"/>
    <w:rsid w:val="000D44FB"/>
    <w:rsid w:val="000D4977"/>
    <w:rsid w:val="000D4EB3"/>
    <w:rsid w:val="000D574B"/>
    <w:rsid w:val="000D5EE7"/>
    <w:rsid w:val="000D6CFC"/>
    <w:rsid w:val="000E12FE"/>
    <w:rsid w:val="000E2D93"/>
    <w:rsid w:val="000E383B"/>
    <w:rsid w:val="000E3A9E"/>
    <w:rsid w:val="000E537B"/>
    <w:rsid w:val="000E57D0"/>
    <w:rsid w:val="000E7858"/>
    <w:rsid w:val="000F1688"/>
    <w:rsid w:val="000F259D"/>
    <w:rsid w:val="000F2C66"/>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377AB"/>
    <w:rsid w:val="00142538"/>
    <w:rsid w:val="00142BB9"/>
    <w:rsid w:val="00144600"/>
    <w:rsid w:val="00144F96"/>
    <w:rsid w:val="00145A0F"/>
    <w:rsid w:val="00145AF7"/>
    <w:rsid w:val="00147939"/>
    <w:rsid w:val="00147C92"/>
    <w:rsid w:val="00151EAC"/>
    <w:rsid w:val="00153528"/>
    <w:rsid w:val="00153F1B"/>
    <w:rsid w:val="00154899"/>
    <w:rsid w:val="00154E68"/>
    <w:rsid w:val="0015705E"/>
    <w:rsid w:val="00157266"/>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0A91"/>
    <w:rsid w:val="001A22A5"/>
    <w:rsid w:val="001A2422"/>
    <w:rsid w:val="001A44C8"/>
    <w:rsid w:val="001A59CB"/>
    <w:rsid w:val="001B214A"/>
    <w:rsid w:val="001B231D"/>
    <w:rsid w:val="001B48ED"/>
    <w:rsid w:val="001B6595"/>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37D9"/>
    <w:rsid w:val="001F68AB"/>
    <w:rsid w:val="00200A62"/>
    <w:rsid w:val="002013CB"/>
    <w:rsid w:val="00203740"/>
    <w:rsid w:val="002062DB"/>
    <w:rsid w:val="0021041A"/>
    <w:rsid w:val="00210EA5"/>
    <w:rsid w:val="00210F1C"/>
    <w:rsid w:val="00211C8C"/>
    <w:rsid w:val="002138EA"/>
    <w:rsid w:val="002139EA"/>
    <w:rsid w:val="00213F84"/>
    <w:rsid w:val="0021494B"/>
    <w:rsid w:val="00214FBD"/>
    <w:rsid w:val="00215A95"/>
    <w:rsid w:val="00215FF9"/>
    <w:rsid w:val="00217456"/>
    <w:rsid w:val="0021756D"/>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466"/>
    <w:rsid w:val="00235577"/>
    <w:rsid w:val="002371B2"/>
    <w:rsid w:val="0024277C"/>
    <w:rsid w:val="002435CA"/>
    <w:rsid w:val="00243618"/>
    <w:rsid w:val="0024469F"/>
    <w:rsid w:val="00250B5B"/>
    <w:rsid w:val="00252DB8"/>
    <w:rsid w:val="002537BC"/>
    <w:rsid w:val="00255C58"/>
    <w:rsid w:val="00260EC7"/>
    <w:rsid w:val="00261539"/>
    <w:rsid w:val="0026179F"/>
    <w:rsid w:val="00265179"/>
    <w:rsid w:val="00265DB9"/>
    <w:rsid w:val="002666AE"/>
    <w:rsid w:val="00267AB7"/>
    <w:rsid w:val="00271A64"/>
    <w:rsid w:val="002726BC"/>
    <w:rsid w:val="002733D7"/>
    <w:rsid w:val="00274E1A"/>
    <w:rsid w:val="00275C3F"/>
    <w:rsid w:val="00275F70"/>
    <w:rsid w:val="00276D3E"/>
    <w:rsid w:val="00277074"/>
    <w:rsid w:val="002775B1"/>
    <w:rsid w:val="002775B9"/>
    <w:rsid w:val="002811C4"/>
    <w:rsid w:val="00282213"/>
    <w:rsid w:val="002826EC"/>
    <w:rsid w:val="00284016"/>
    <w:rsid w:val="00284439"/>
    <w:rsid w:val="002858BF"/>
    <w:rsid w:val="00292FE9"/>
    <w:rsid w:val="002939AF"/>
    <w:rsid w:val="00294491"/>
    <w:rsid w:val="00294BDE"/>
    <w:rsid w:val="002A0C0E"/>
    <w:rsid w:val="002A0CED"/>
    <w:rsid w:val="002A332E"/>
    <w:rsid w:val="002A491D"/>
    <w:rsid w:val="002A4CD0"/>
    <w:rsid w:val="002A7DA6"/>
    <w:rsid w:val="002B2225"/>
    <w:rsid w:val="002B516C"/>
    <w:rsid w:val="002B5E1D"/>
    <w:rsid w:val="002B60C1"/>
    <w:rsid w:val="002C3E0F"/>
    <w:rsid w:val="002C4848"/>
    <w:rsid w:val="002C4B52"/>
    <w:rsid w:val="002C51DB"/>
    <w:rsid w:val="002C5842"/>
    <w:rsid w:val="002D0234"/>
    <w:rsid w:val="002D03E5"/>
    <w:rsid w:val="002D0515"/>
    <w:rsid w:val="002D21F3"/>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AE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9CE"/>
    <w:rsid w:val="00330C6F"/>
    <w:rsid w:val="0033451C"/>
    <w:rsid w:val="00335E88"/>
    <w:rsid w:val="00336697"/>
    <w:rsid w:val="0033724A"/>
    <w:rsid w:val="00337656"/>
    <w:rsid w:val="00337831"/>
    <w:rsid w:val="003415DC"/>
    <w:rsid w:val="003418CB"/>
    <w:rsid w:val="003431A8"/>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C29"/>
    <w:rsid w:val="00383E37"/>
    <w:rsid w:val="00384648"/>
    <w:rsid w:val="003846BF"/>
    <w:rsid w:val="00387461"/>
    <w:rsid w:val="003900DA"/>
    <w:rsid w:val="00390A63"/>
    <w:rsid w:val="00392D5B"/>
    <w:rsid w:val="00393042"/>
    <w:rsid w:val="00393C01"/>
    <w:rsid w:val="00394AD5"/>
    <w:rsid w:val="00394D5C"/>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3B5"/>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5CCE"/>
    <w:rsid w:val="003D7719"/>
    <w:rsid w:val="003E1935"/>
    <w:rsid w:val="003E3AAD"/>
    <w:rsid w:val="003E40EE"/>
    <w:rsid w:val="003E7AE1"/>
    <w:rsid w:val="003F04B3"/>
    <w:rsid w:val="003F1C1B"/>
    <w:rsid w:val="003F3A2F"/>
    <w:rsid w:val="003F4C2C"/>
    <w:rsid w:val="003F5A2E"/>
    <w:rsid w:val="003F63C3"/>
    <w:rsid w:val="00401132"/>
    <w:rsid w:val="00401144"/>
    <w:rsid w:val="00401C23"/>
    <w:rsid w:val="00404831"/>
    <w:rsid w:val="00407661"/>
    <w:rsid w:val="00410314"/>
    <w:rsid w:val="00410483"/>
    <w:rsid w:val="00412063"/>
    <w:rsid w:val="00412EB1"/>
    <w:rsid w:val="00413DDE"/>
    <w:rsid w:val="00414118"/>
    <w:rsid w:val="00414495"/>
    <w:rsid w:val="00415E71"/>
    <w:rsid w:val="00416084"/>
    <w:rsid w:val="00416792"/>
    <w:rsid w:val="00416EF2"/>
    <w:rsid w:val="00417CA9"/>
    <w:rsid w:val="004236D7"/>
    <w:rsid w:val="00424F8C"/>
    <w:rsid w:val="00425504"/>
    <w:rsid w:val="00426188"/>
    <w:rsid w:val="0042695B"/>
    <w:rsid w:val="004271BA"/>
    <w:rsid w:val="00430497"/>
    <w:rsid w:val="00430896"/>
    <w:rsid w:val="00430EA5"/>
    <w:rsid w:val="00434281"/>
    <w:rsid w:val="004346D3"/>
    <w:rsid w:val="00434991"/>
    <w:rsid w:val="00434DC1"/>
    <w:rsid w:val="004350F4"/>
    <w:rsid w:val="00435642"/>
    <w:rsid w:val="00436FA3"/>
    <w:rsid w:val="004412A0"/>
    <w:rsid w:val="00441E53"/>
    <w:rsid w:val="00442081"/>
    <w:rsid w:val="00442337"/>
    <w:rsid w:val="00444B65"/>
    <w:rsid w:val="00446408"/>
    <w:rsid w:val="0044731D"/>
    <w:rsid w:val="004500AA"/>
    <w:rsid w:val="0045027E"/>
    <w:rsid w:val="00450F27"/>
    <w:rsid w:val="004510E5"/>
    <w:rsid w:val="00451862"/>
    <w:rsid w:val="00453B35"/>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69C7"/>
    <w:rsid w:val="0048750F"/>
    <w:rsid w:val="00487A70"/>
    <w:rsid w:val="00491A20"/>
    <w:rsid w:val="00491E54"/>
    <w:rsid w:val="00491FEF"/>
    <w:rsid w:val="00495E3B"/>
    <w:rsid w:val="004A0F82"/>
    <w:rsid w:val="004A1E6A"/>
    <w:rsid w:val="004A258E"/>
    <w:rsid w:val="004A311B"/>
    <w:rsid w:val="004A37AC"/>
    <w:rsid w:val="004A495F"/>
    <w:rsid w:val="004A7544"/>
    <w:rsid w:val="004B04C2"/>
    <w:rsid w:val="004B6B0F"/>
    <w:rsid w:val="004C069C"/>
    <w:rsid w:val="004C137C"/>
    <w:rsid w:val="004C205D"/>
    <w:rsid w:val="004C54E5"/>
    <w:rsid w:val="004C55C5"/>
    <w:rsid w:val="004C75A4"/>
    <w:rsid w:val="004C7DC8"/>
    <w:rsid w:val="004D04DE"/>
    <w:rsid w:val="004D21B0"/>
    <w:rsid w:val="004D33B8"/>
    <w:rsid w:val="004D3870"/>
    <w:rsid w:val="004D4AD9"/>
    <w:rsid w:val="004D5F73"/>
    <w:rsid w:val="004D737D"/>
    <w:rsid w:val="004E2659"/>
    <w:rsid w:val="004E33B5"/>
    <w:rsid w:val="004E39EE"/>
    <w:rsid w:val="004E3E93"/>
    <w:rsid w:val="004E44E6"/>
    <w:rsid w:val="004E475C"/>
    <w:rsid w:val="004E5686"/>
    <w:rsid w:val="004E56E0"/>
    <w:rsid w:val="004E6041"/>
    <w:rsid w:val="004E6900"/>
    <w:rsid w:val="004E7329"/>
    <w:rsid w:val="004E7E8D"/>
    <w:rsid w:val="004F0539"/>
    <w:rsid w:val="004F1C31"/>
    <w:rsid w:val="004F27D7"/>
    <w:rsid w:val="004F2CB0"/>
    <w:rsid w:val="004F5FF5"/>
    <w:rsid w:val="004F652D"/>
    <w:rsid w:val="004F6923"/>
    <w:rsid w:val="005017F7"/>
    <w:rsid w:val="00501FA7"/>
    <w:rsid w:val="005034DC"/>
    <w:rsid w:val="00505BFA"/>
    <w:rsid w:val="005071A0"/>
    <w:rsid w:val="005071B4"/>
    <w:rsid w:val="00507687"/>
    <w:rsid w:val="00507E96"/>
    <w:rsid w:val="00510B95"/>
    <w:rsid w:val="005117A9"/>
    <w:rsid w:val="00511F57"/>
    <w:rsid w:val="00512980"/>
    <w:rsid w:val="0051370F"/>
    <w:rsid w:val="005158DE"/>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F79"/>
    <w:rsid w:val="00536F1F"/>
    <w:rsid w:val="00537205"/>
    <w:rsid w:val="00537601"/>
    <w:rsid w:val="005377AD"/>
    <w:rsid w:val="00541573"/>
    <w:rsid w:val="00542428"/>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4039"/>
    <w:rsid w:val="00580FF5"/>
    <w:rsid w:val="00581BDB"/>
    <w:rsid w:val="00582D0C"/>
    <w:rsid w:val="0058519C"/>
    <w:rsid w:val="005852B5"/>
    <w:rsid w:val="00586940"/>
    <w:rsid w:val="005876DC"/>
    <w:rsid w:val="00590166"/>
    <w:rsid w:val="00590413"/>
    <w:rsid w:val="005912F0"/>
    <w:rsid w:val="0059149A"/>
    <w:rsid w:val="005920C5"/>
    <w:rsid w:val="005956EE"/>
    <w:rsid w:val="005A0745"/>
    <w:rsid w:val="005A083E"/>
    <w:rsid w:val="005A0E31"/>
    <w:rsid w:val="005A379D"/>
    <w:rsid w:val="005A3B48"/>
    <w:rsid w:val="005B13D0"/>
    <w:rsid w:val="005B1883"/>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368"/>
    <w:rsid w:val="005E17BF"/>
    <w:rsid w:val="005E366A"/>
    <w:rsid w:val="005E3C3C"/>
    <w:rsid w:val="005E4A0C"/>
    <w:rsid w:val="005E4DDC"/>
    <w:rsid w:val="005E5252"/>
    <w:rsid w:val="005F1708"/>
    <w:rsid w:val="005F2145"/>
    <w:rsid w:val="005F6435"/>
    <w:rsid w:val="005F79AA"/>
    <w:rsid w:val="006016E1"/>
    <w:rsid w:val="00602D27"/>
    <w:rsid w:val="006140F8"/>
    <w:rsid w:val="006144A1"/>
    <w:rsid w:val="00614A87"/>
    <w:rsid w:val="00615EBB"/>
    <w:rsid w:val="00616096"/>
    <w:rsid w:val="006160A2"/>
    <w:rsid w:val="00616640"/>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C68"/>
    <w:rsid w:val="00664A51"/>
    <w:rsid w:val="006653A9"/>
    <w:rsid w:val="006670AC"/>
    <w:rsid w:val="00671226"/>
    <w:rsid w:val="00672307"/>
    <w:rsid w:val="00673A42"/>
    <w:rsid w:val="00674FAE"/>
    <w:rsid w:val="006808C6"/>
    <w:rsid w:val="00681CF0"/>
    <w:rsid w:val="00682668"/>
    <w:rsid w:val="006839E7"/>
    <w:rsid w:val="006872EF"/>
    <w:rsid w:val="00691DC2"/>
    <w:rsid w:val="00692A68"/>
    <w:rsid w:val="0069497E"/>
    <w:rsid w:val="00695D85"/>
    <w:rsid w:val="00697283"/>
    <w:rsid w:val="00697A5C"/>
    <w:rsid w:val="00697EAA"/>
    <w:rsid w:val="006A1C88"/>
    <w:rsid w:val="006A30A2"/>
    <w:rsid w:val="006A32BA"/>
    <w:rsid w:val="006A365E"/>
    <w:rsid w:val="006A52E9"/>
    <w:rsid w:val="006A6D23"/>
    <w:rsid w:val="006A7B3E"/>
    <w:rsid w:val="006B25DE"/>
    <w:rsid w:val="006B277A"/>
    <w:rsid w:val="006B2D2C"/>
    <w:rsid w:val="006B4F9D"/>
    <w:rsid w:val="006B717E"/>
    <w:rsid w:val="006B72C7"/>
    <w:rsid w:val="006B760B"/>
    <w:rsid w:val="006B7764"/>
    <w:rsid w:val="006C1C3B"/>
    <w:rsid w:val="006C2861"/>
    <w:rsid w:val="006C297E"/>
    <w:rsid w:val="006C4E43"/>
    <w:rsid w:val="006C58E5"/>
    <w:rsid w:val="006C63CD"/>
    <w:rsid w:val="006C643E"/>
    <w:rsid w:val="006D2932"/>
    <w:rsid w:val="006D3671"/>
    <w:rsid w:val="006D4176"/>
    <w:rsid w:val="006E0A73"/>
    <w:rsid w:val="006E0CAF"/>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0EE"/>
    <w:rsid w:val="00715463"/>
    <w:rsid w:val="0071684C"/>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464E1"/>
    <w:rsid w:val="007501A6"/>
    <w:rsid w:val="007520B4"/>
    <w:rsid w:val="007549D3"/>
    <w:rsid w:val="007637E0"/>
    <w:rsid w:val="007642F9"/>
    <w:rsid w:val="007655D5"/>
    <w:rsid w:val="007662B8"/>
    <w:rsid w:val="00771728"/>
    <w:rsid w:val="00771F8F"/>
    <w:rsid w:val="00772895"/>
    <w:rsid w:val="00772CCA"/>
    <w:rsid w:val="00775C19"/>
    <w:rsid w:val="007763C1"/>
    <w:rsid w:val="00777E82"/>
    <w:rsid w:val="00781359"/>
    <w:rsid w:val="00783C87"/>
    <w:rsid w:val="0078444F"/>
    <w:rsid w:val="007846C2"/>
    <w:rsid w:val="0078536E"/>
    <w:rsid w:val="00785B4D"/>
    <w:rsid w:val="00786921"/>
    <w:rsid w:val="00792B0C"/>
    <w:rsid w:val="00792D70"/>
    <w:rsid w:val="007949A9"/>
    <w:rsid w:val="00796E6A"/>
    <w:rsid w:val="00797676"/>
    <w:rsid w:val="007A0938"/>
    <w:rsid w:val="007A157B"/>
    <w:rsid w:val="007A1EAA"/>
    <w:rsid w:val="007A2DD4"/>
    <w:rsid w:val="007A30A6"/>
    <w:rsid w:val="007A79FD"/>
    <w:rsid w:val="007B0B9D"/>
    <w:rsid w:val="007B26E3"/>
    <w:rsid w:val="007B5A43"/>
    <w:rsid w:val="007B5AC9"/>
    <w:rsid w:val="007B709B"/>
    <w:rsid w:val="007B70C7"/>
    <w:rsid w:val="007B760A"/>
    <w:rsid w:val="007C1343"/>
    <w:rsid w:val="007C1D06"/>
    <w:rsid w:val="007C304B"/>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0849"/>
    <w:rsid w:val="0080343E"/>
    <w:rsid w:val="00805BE8"/>
    <w:rsid w:val="00807407"/>
    <w:rsid w:val="00807A57"/>
    <w:rsid w:val="008123C9"/>
    <w:rsid w:val="00816078"/>
    <w:rsid w:val="0081743C"/>
    <w:rsid w:val="008177E3"/>
    <w:rsid w:val="00821369"/>
    <w:rsid w:val="008217D2"/>
    <w:rsid w:val="00821EA8"/>
    <w:rsid w:val="008230A3"/>
    <w:rsid w:val="00823AA9"/>
    <w:rsid w:val="008246C8"/>
    <w:rsid w:val="00824EF4"/>
    <w:rsid w:val="008255B9"/>
    <w:rsid w:val="00825CD8"/>
    <w:rsid w:val="00825D14"/>
    <w:rsid w:val="00826383"/>
    <w:rsid w:val="00827324"/>
    <w:rsid w:val="00831715"/>
    <w:rsid w:val="008321DF"/>
    <w:rsid w:val="00833C55"/>
    <w:rsid w:val="008355EA"/>
    <w:rsid w:val="00835D12"/>
    <w:rsid w:val="00835E7D"/>
    <w:rsid w:val="0083689E"/>
    <w:rsid w:val="00837458"/>
    <w:rsid w:val="00837AAE"/>
    <w:rsid w:val="008419E0"/>
    <w:rsid w:val="00841EA3"/>
    <w:rsid w:val="008429AD"/>
    <w:rsid w:val="008429DB"/>
    <w:rsid w:val="00843367"/>
    <w:rsid w:val="00844AE3"/>
    <w:rsid w:val="00845E6D"/>
    <w:rsid w:val="008466C1"/>
    <w:rsid w:val="00847208"/>
    <w:rsid w:val="00847F8E"/>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3FEA"/>
    <w:rsid w:val="008B4444"/>
    <w:rsid w:val="008B4622"/>
    <w:rsid w:val="008B5AE7"/>
    <w:rsid w:val="008B67D2"/>
    <w:rsid w:val="008C34E4"/>
    <w:rsid w:val="008C3A98"/>
    <w:rsid w:val="008C60E9"/>
    <w:rsid w:val="008C64A3"/>
    <w:rsid w:val="008C6543"/>
    <w:rsid w:val="008C7F1C"/>
    <w:rsid w:val="008D05FB"/>
    <w:rsid w:val="008D1145"/>
    <w:rsid w:val="008D1B7C"/>
    <w:rsid w:val="008D30BE"/>
    <w:rsid w:val="008D5427"/>
    <w:rsid w:val="008D6657"/>
    <w:rsid w:val="008D702F"/>
    <w:rsid w:val="008D770A"/>
    <w:rsid w:val="008E0456"/>
    <w:rsid w:val="008E1F60"/>
    <w:rsid w:val="008E20E9"/>
    <w:rsid w:val="008E2130"/>
    <w:rsid w:val="008E307E"/>
    <w:rsid w:val="008F4DD1"/>
    <w:rsid w:val="008F6056"/>
    <w:rsid w:val="008F7C5C"/>
    <w:rsid w:val="00902542"/>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56B37"/>
    <w:rsid w:val="00961BB2"/>
    <w:rsid w:val="00961E92"/>
    <w:rsid w:val="00962108"/>
    <w:rsid w:val="00962BD4"/>
    <w:rsid w:val="009638D6"/>
    <w:rsid w:val="00963966"/>
    <w:rsid w:val="00964C45"/>
    <w:rsid w:val="00971B1B"/>
    <w:rsid w:val="0097241E"/>
    <w:rsid w:val="0097408E"/>
    <w:rsid w:val="00974BB2"/>
    <w:rsid w:val="00974FA7"/>
    <w:rsid w:val="009756E5"/>
    <w:rsid w:val="00976EBE"/>
    <w:rsid w:val="00977A8C"/>
    <w:rsid w:val="0098053B"/>
    <w:rsid w:val="00981A61"/>
    <w:rsid w:val="0098271B"/>
    <w:rsid w:val="00983910"/>
    <w:rsid w:val="00983BE8"/>
    <w:rsid w:val="00983CF0"/>
    <w:rsid w:val="009855B5"/>
    <w:rsid w:val="009932AC"/>
    <w:rsid w:val="00994351"/>
    <w:rsid w:val="00994C15"/>
    <w:rsid w:val="00995889"/>
    <w:rsid w:val="009960B3"/>
    <w:rsid w:val="00996A8F"/>
    <w:rsid w:val="00996FC2"/>
    <w:rsid w:val="009A0FD8"/>
    <w:rsid w:val="009A137D"/>
    <w:rsid w:val="009A1DBF"/>
    <w:rsid w:val="009A3012"/>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14AA"/>
    <w:rsid w:val="009D27F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758F"/>
    <w:rsid w:val="009F0D30"/>
    <w:rsid w:val="009F23A9"/>
    <w:rsid w:val="009F6AB0"/>
    <w:rsid w:val="009F721E"/>
    <w:rsid w:val="00A00E7F"/>
    <w:rsid w:val="00A00FB2"/>
    <w:rsid w:val="00A03A79"/>
    <w:rsid w:val="00A0583F"/>
    <w:rsid w:val="00A0758F"/>
    <w:rsid w:val="00A11080"/>
    <w:rsid w:val="00A11517"/>
    <w:rsid w:val="00A11A97"/>
    <w:rsid w:val="00A13FFE"/>
    <w:rsid w:val="00A1570A"/>
    <w:rsid w:val="00A15AD8"/>
    <w:rsid w:val="00A1760E"/>
    <w:rsid w:val="00A211B4"/>
    <w:rsid w:val="00A2150C"/>
    <w:rsid w:val="00A22955"/>
    <w:rsid w:val="00A27488"/>
    <w:rsid w:val="00A3303E"/>
    <w:rsid w:val="00A33DDF"/>
    <w:rsid w:val="00A34547"/>
    <w:rsid w:val="00A375D7"/>
    <w:rsid w:val="00A376B7"/>
    <w:rsid w:val="00A41BF5"/>
    <w:rsid w:val="00A42464"/>
    <w:rsid w:val="00A44778"/>
    <w:rsid w:val="00A449B0"/>
    <w:rsid w:val="00A44D66"/>
    <w:rsid w:val="00A45815"/>
    <w:rsid w:val="00A469E7"/>
    <w:rsid w:val="00A46C9B"/>
    <w:rsid w:val="00A50F97"/>
    <w:rsid w:val="00A55398"/>
    <w:rsid w:val="00A55A89"/>
    <w:rsid w:val="00A568BA"/>
    <w:rsid w:val="00A604A4"/>
    <w:rsid w:val="00A61B7D"/>
    <w:rsid w:val="00A61F4F"/>
    <w:rsid w:val="00A64176"/>
    <w:rsid w:val="00A6605B"/>
    <w:rsid w:val="00A66A4E"/>
    <w:rsid w:val="00A66ADC"/>
    <w:rsid w:val="00A673BA"/>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6EEE"/>
    <w:rsid w:val="00AD7736"/>
    <w:rsid w:val="00AE10CE"/>
    <w:rsid w:val="00AE3303"/>
    <w:rsid w:val="00AE6A1E"/>
    <w:rsid w:val="00AE70D4"/>
    <w:rsid w:val="00AE7868"/>
    <w:rsid w:val="00AF0407"/>
    <w:rsid w:val="00AF049B"/>
    <w:rsid w:val="00AF4D8B"/>
    <w:rsid w:val="00AF734D"/>
    <w:rsid w:val="00AF7607"/>
    <w:rsid w:val="00B05575"/>
    <w:rsid w:val="00B0672B"/>
    <w:rsid w:val="00B067CA"/>
    <w:rsid w:val="00B07BF4"/>
    <w:rsid w:val="00B12B26"/>
    <w:rsid w:val="00B13420"/>
    <w:rsid w:val="00B13CDE"/>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4E52"/>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B5C"/>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1FB9"/>
    <w:rsid w:val="00C23C73"/>
    <w:rsid w:val="00C24281"/>
    <w:rsid w:val="00C24C05"/>
    <w:rsid w:val="00C24D2F"/>
    <w:rsid w:val="00C26222"/>
    <w:rsid w:val="00C31283"/>
    <w:rsid w:val="00C33C48"/>
    <w:rsid w:val="00C340E5"/>
    <w:rsid w:val="00C34EA2"/>
    <w:rsid w:val="00C35AA7"/>
    <w:rsid w:val="00C3718D"/>
    <w:rsid w:val="00C4210C"/>
    <w:rsid w:val="00C433C3"/>
    <w:rsid w:val="00C439B6"/>
    <w:rsid w:val="00C43BA1"/>
    <w:rsid w:val="00C43DAB"/>
    <w:rsid w:val="00C44D7C"/>
    <w:rsid w:val="00C45310"/>
    <w:rsid w:val="00C45D91"/>
    <w:rsid w:val="00C46814"/>
    <w:rsid w:val="00C47C71"/>
    <w:rsid w:val="00C47F08"/>
    <w:rsid w:val="00C505A1"/>
    <w:rsid w:val="00C514A6"/>
    <w:rsid w:val="00C5154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205"/>
    <w:rsid w:val="00C74998"/>
    <w:rsid w:val="00C7716E"/>
    <w:rsid w:val="00C77258"/>
    <w:rsid w:val="00C77261"/>
    <w:rsid w:val="00C77D6C"/>
    <w:rsid w:val="00C77DD9"/>
    <w:rsid w:val="00C80C68"/>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526B"/>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5996"/>
    <w:rsid w:val="00D0036C"/>
    <w:rsid w:val="00D03D00"/>
    <w:rsid w:val="00D05C30"/>
    <w:rsid w:val="00D064E2"/>
    <w:rsid w:val="00D10052"/>
    <w:rsid w:val="00D11359"/>
    <w:rsid w:val="00D11510"/>
    <w:rsid w:val="00D1772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0A4"/>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506"/>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2B3"/>
    <w:rsid w:val="00DE3D1C"/>
    <w:rsid w:val="00DF1441"/>
    <w:rsid w:val="00DF14A8"/>
    <w:rsid w:val="00DF1609"/>
    <w:rsid w:val="00DF42DD"/>
    <w:rsid w:val="00DF4EEC"/>
    <w:rsid w:val="00E0227D"/>
    <w:rsid w:val="00E04B84"/>
    <w:rsid w:val="00E05314"/>
    <w:rsid w:val="00E05635"/>
    <w:rsid w:val="00E06360"/>
    <w:rsid w:val="00E06466"/>
    <w:rsid w:val="00E066CA"/>
    <w:rsid w:val="00E06835"/>
    <w:rsid w:val="00E06888"/>
    <w:rsid w:val="00E06FDA"/>
    <w:rsid w:val="00E07819"/>
    <w:rsid w:val="00E105CC"/>
    <w:rsid w:val="00E11FA6"/>
    <w:rsid w:val="00E1600F"/>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3EB0"/>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14C5"/>
    <w:rsid w:val="00E64E9E"/>
    <w:rsid w:val="00E65BC6"/>
    <w:rsid w:val="00E661FF"/>
    <w:rsid w:val="00E663E6"/>
    <w:rsid w:val="00E67894"/>
    <w:rsid w:val="00E713C0"/>
    <w:rsid w:val="00E726EB"/>
    <w:rsid w:val="00E72CF1"/>
    <w:rsid w:val="00E755FC"/>
    <w:rsid w:val="00E80B52"/>
    <w:rsid w:val="00E824C3"/>
    <w:rsid w:val="00E82EBF"/>
    <w:rsid w:val="00E83BE7"/>
    <w:rsid w:val="00E840B3"/>
    <w:rsid w:val="00E84641"/>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E5A46"/>
    <w:rsid w:val="00EF1EC5"/>
    <w:rsid w:val="00EF343E"/>
    <w:rsid w:val="00EF37C2"/>
    <w:rsid w:val="00EF4C88"/>
    <w:rsid w:val="00EF55EB"/>
    <w:rsid w:val="00EF7A9D"/>
    <w:rsid w:val="00F00DCC"/>
    <w:rsid w:val="00F0156F"/>
    <w:rsid w:val="00F03489"/>
    <w:rsid w:val="00F04F2D"/>
    <w:rsid w:val="00F05AC8"/>
    <w:rsid w:val="00F05C38"/>
    <w:rsid w:val="00F07167"/>
    <w:rsid w:val="00F072D8"/>
    <w:rsid w:val="00F07CE0"/>
    <w:rsid w:val="00F115F5"/>
    <w:rsid w:val="00F13D05"/>
    <w:rsid w:val="00F14693"/>
    <w:rsid w:val="00F14CE7"/>
    <w:rsid w:val="00F1679D"/>
    <w:rsid w:val="00F1682C"/>
    <w:rsid w:val="00F171EE"/>
    <w:rsid w:val="00F17493"/>
    <w:rsid w:val="00F17AFA"/>
    <w:rsid w:val="00F20666"/>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6A7A"/>
    <w:rsid w:val="00F46AA3"/>
    <w:rsid w:val="00F470B2"/>
    <w:rsid w:val="00F4713D"/>
    <w:rsid w:val="00F5106A"/>
    <w:rsid w:val="00F51701"/>
    <w:rsid w:val="00F53053"/>
    <w:rsid w:val="00F53FE2"/>
    <w:rsid w:val="00F575FF"/>
    <w:rsid w:val="00F60550"/>
    <w:rsid w:val="00F618EF"/>
    <w:rsid w:val="00F61DDD"/>
    <w:rsid w:val="00F65084"/>
    <w:rsid w:val="00F65582"/>
    <w:rsid w:val="00F66E75"/>
    <w:rsid w:val="00F67735"/>
    <w:rsid w:val="00F67874"/>
    <w:rsid w:val="00F70827"/>
    <w:rsid w:val="00F724BC"/>
    <w:rsid w:val="00F7257A"/>
    <w:rsid w:val="00F74754"/>
    <w:rsid w:val="00F75708"/>
    <w:rsid w:val="00F75A80"/>
    <w:rsid w:val="00F76C86"/>
    <w:rsid w:val="00F77EB0"/>
    <w:rsid w:val="00F83A96"/>
    <w:rsid w:val="00F874DC"/>
    <w:rsid w:val="00F87AFD"/>
    <w:rsid w:val="00F87CDD"/>
    <w:rsid w:val="00F90F46"/>
    <w:rsid w:val="00F916C1"/>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0C85"/>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6344"/>
    <w:rsid w:val="00FD701C"/>
    <w:rsid w:val="00FD7679"/>
    <w:rsid w:val="00FD7AA7"/>
    <w:rsid w:val="00FE4DB1"/>
    <w:rsid w:val="00FE5750"/>
    <w:rsid w:val="00FE6E2C"/>
    <w:rsid w:val="00FE7B4A"/>
    <w:rsid w:val="00FF1FCB"/>
    <w:rsid w:val="00FF3FC4"/>
    <w:rsid w:val="00FF52D4"/>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10252F-33AB-4D0D-80B7-3030BD7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5E88"/>
    <w:pPr>
      <w:spacing w:after="180" w:line="240" w:lineRule="auto"/>
      <w:jc w:val="left"/>
    </w:pPr>
    <w:rPr>
      <w:lang w:val="en-GB" w:eastAsia="en-US"/>
    </w:rPr>
  </w:style>
  <w:style w:type="paragraph" w:styleId="1">
    <w:name w:val="heading 1"/>
    <w:aliases w:val="H1,h1"/>
    <w:next w:val="a"/>
    <w:link w:val="10"/>
    <w:uiPriority w:val="9"/>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spacing w:line="259" w:lineRule="auto"/>
      <w:ind w:left="568" w:hanging="284"/>
      <w:jc w:val="both"/>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line="259" w:lineRule="auto"/>
      <w:jc w:val="both"/>
    </w:pPr>
    <w:rPr>
      <w:b/>
    </w:rPr>
  </w:style>
  <w:style w:type="paragraph" w:styleId="a8">
    <w:name w:val="Document Map"/>
    <w:basedOn w:val="a"/>
    <w:semiHidden/>
    <w:pPr>
      <w:widowControl w:val="0"/>
      <w:shd w:val="clear" w:color="auto" w:fill="000080"/>
      <w:spacing w:after="0"/>
      <w:jc w:val="both"/>
    </w:pPr>
    <w:rPr>
      <w:rFonts w:ascii="Tahoma" w:eastAsiaTheme="minorEastAsia" w:hAnsi="Tahoma" w:cstheme="minorBidi"/>
      <w:kern w:val="2"/>
      <w:sz w:val="21"/>
      <w:szCs w:val="22"/>
      <w:lang w:val="en-US" w:eastAsia="zh-CN"/>
    </w:rPr>
  </w:style>
  <w:style w:type="paragraph" w:styleId="a9">
    <w:name w:val="annotation text"/>
    <w:basedOn w:val="a"/>
    <w:link w:val="aa"/>
    <w:pPr>
      <w:spacing w:line="259" w:lineRule="auto"/>
      <w:jc w:val="both"/>
    </w:pPr>
  </w:style>
  <w:style w:type="paragraph" w:styleId="ab">
    <w:name w:val="Body Text"/>
    <w:basedOn w:val="a"/>
    <w:link w:val="ac"/>
    <w:qFormat/>
    <w:pPr>
      <w:spacing w:line="259" w:lineRule="auto"/>
      <w:jc w:val="both"/>
    </w:pPr>
  </w:style>
  <w:style w:type="paragraph" w:styleId="ad">
    <w:name w:val="Plain Text"/>
    <w:basedOn w:val="a"/>
    <w:link w:val="ae"/>
    <w:uiPriority w:val="99"/>
    <w:qFormat/>
    <w:pPr>
      <w:spacing w:line="259" w:lineRule="auto"/>
      <w:jc w:val="both"/>
    </w:pPr>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spacing w:line="259" w:lineRule="auto"/>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spacing w:line="259" w:lineRule="auto"/>
      <w:jc w:val="both"/>
      <w:textAlignment w:val="baseline"/>
    </w:pPr>
    <w:rPr>
      <w:rFonts w:eastAsia="Yu Mincho"/>
    </w:rPr>
  </w:style>
  <w:style w:type="paragraph" w:styleId="af1">
    <w:name w:val="Balloon Text"/>
    <w:basedOn w:val="a"/>
    <w:link w:val="af2"/>
    <w:qFormat/>
    <w:pPr>
      <w:spacing w:after="0" w:line="259" w:lineRule="auto"/>
      <w:jc w:val="both"/>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widowControl w:val="0"/>
      <w:pBdr>
        <w:top w:val="single" w:sz="12" w:space="0" w:color="auto"/>
      </w:pBdr>
      <w:spacing w:before="360" w:after="240"/>
      <w:jc w:val="both"/>
    </w:pPr>
    <w:rPr>
      <w:rFonts w:asciiTheme="minorHAnsi" w:eastAsiaTheme="minorEastAsia" w:hAnsiTheme="minorHAnsi" w:cstheme="minorBidi"/>
      <w:b/>
      <w:i/>
      <w:kern w:val="2"/>
      <w:sz w:val="26"/>
      <w:szCs w:val="22"/>
      <w:lang w:val="en-US" w:eastAsia="zh-CN"/>
    </w:rPr>
  </w:style>
  <w:style w:type="paragraph" w:styleId="af8">
    <w:name w:val="footnote text"/>
    <w:basedOn w:val="a"/>
    <w:link w:val="af9"/>
    <w:semiHidden/>
    <w:qFormat/>
    <w:pPr>
      <w:keepLines/>
      <w:spacing w:after="0" w:line="259" w:lineRule="auto"/>
      <w:ind w:left="454" w:hanging="454"/>
      <w:jc w:val="both"/>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line="259" w:lineRule="auto"/>
      <w:jc w:val="both"/>
    </w:pPr>
    <w:rPr>
      <w:rFonts w:eastAsia="Arial Unicode MS"/>
      <w:sz w:val="24"/>
      <w:szCs w:val="24"/>
    </w:rPr>
  </w:style>
  <w:style w:type="paragraph" w:styleId="11">
    <w:name w:val="index 1"/>
    <w:basedOn w:val="a"/>
    <w:next w:val="a"/>
    <w:semiHidden/>
    <w:qFormat/>
    <w:pPr>
      <w:keepLines/>
      <w:spacing w:after="0" w:line="259" w:lineRule="auto"/>
      <w:jc w:val="both"/>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line="259" w:lineRule="auto"/>
      <w:jc w:val="both"/>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line="259" w:lineRule="auto"/>
      <w:ind w:left="1135" w:hanging="851"/>
      <w:jc w:val="both"/>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line="259" w:lineRule="auto"/>
      <w:jc w:val="both"/>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spacing w:line="259" w:lineRule="auto"/>
      <w:ind w:left="1702" w:hanging="1418"/>
      <w:jc w:val="both"/>
    </w:pPr>
  </w:style>
  <w:style w:type="paragraph" w:customStyle="1" w:styleId="FP">
    <w:name w:val="FP"/>
    <w:basedOn w:val="a"/>
    <w:qFormat/>
    <w:pPr>
      <w:spacing w:after="0" w:line="259" w:lineRule="auto"/>
      <w:jc w:val="both"/>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line="259" w:lineRule="auto"/>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line="259" w:lineRule="auto"/>
      <w:ind w:left="851"/>
      <w:jc w:val="both"/>
    </w:pPr>
  </w:style>
  <w:style w:type="paragraph" w:customStyle="1" w:styleId="INDENT2">
    <w:name w:val="INDENT2"/>
    <w:basedOn w:val="a"/>
    <w:pPr>
      <w:spacing w:line="259" w:lineRule="auto"/>
      <w:ind w:left="1135" w:hanging="284"/>
      <w:jc w:val="both"/>
    </w:pPr>
  </w:style>
  <w:style w:type="paragraph" w:customStyle="1" w:styleId="INDENT3">
    <w:name w:val="INDENT3"/>
    <w:basedOn w:val="a"/>
    <w:pPr>
      <w:spacing w:line="259" w:lineRule="auto"/>
      <w:ind w:left="1701" w:hanging="567"/>
      <w:jc w:val="both"/>
    </w:p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59" w:lineRule="auto"/>
      <w:jc w:val="center"/>
    </w:pPr>
    <w:rPr>
      <w:b/>
      <w:sz w:val="24"/>
    </w:rPr>
  </w:style>
  <w:style w:type="paragraph" w:customStyle="1" w:styleId="RecCCITT">
    <w:name w:val="Rec_CCITT_#"/>
    <w:basedOn w:val="a"/>
    <w:qFormat/>
    <w:pPr>
      <w:keepNext/>
      <w:keepLines/>
      <w:spacing w:line="259" w:lineRule="auto"/>
      <w:jc w:val="both"/>
    </w:pPr>
    <w:rPr>
      <w:b/>
    </w:rPr>
  </w:style>
  <w:style w:type="paragraph" w:customStyle="1" w:styleId="enumlev2">
    <w:name w:val="enumlev2"/>
    <w:basedOn w:val="a"/>
    <w:qFormat/>
    <w:pPr>
      <w:tabs>
        <w:tab w:val="left" w:pos="794"/>
        <w:tab w:val="left" w:pos="1191"/>
        <w:tab w:val="left" w:pos="1588"/>
        <w:tab w:val="left" w:pos="1985"/>
      </w:tabs>
      <w:spacing w:before="86" w:line="259" w:lineRule="auto"/>
      <w:ind w:left="1588" w:hanging="397"/>
      <w:jc w:val="both"/>
    </w:pPr>
    <w:rPr>
      <w:lang w:val="en-US"/>
    </w:rPr>
  </w:style>
  <w:style w:type="paragraph" w:customStyle="1" w:styleId="CouvRecTitle">
    <w:name w:val="Couv Rec Title"/>
    <w:basedOn w:val="a"/>
    <w:pPr>
      <w:keepNext/>
      <w:keepLines/>
      <w:spacing w:before="240" w:line="259" w:lineRule="auto"/>
      <w:ind w:left="1418"/>
      <w:jc w:val="both"/>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pPr>
      <w:spacing w:line="259" w:lineRule="auto"/>
      <w:jc w:val="both"/>
    </w:pP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uiPriority w:val="9"/>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line="259" w:lineRule="auto"/>
      <w:ind w:left="1134" w:hanging="1134"/>
      <w:jc w:val="both"/>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jc w:val="both"/>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line="259" w:lineRule="auto"/>
      <w:jc w:val="both"/>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line="259" w:lineRule="auto"/>
      <w:jc w:val="both"/>
    </w:pPr>
    <w:rPr>
      <w:rFonts w:eastAsia="Calibri"/>
      <w:sz w:val="24"/>
      <w:szCs w:val="24"/>
      <w:lang w:val="en-US"/>
    </w:rPr>
  </w:style>
  <w:style w:type="paragraph" w:customStyle="1" w:styleId="tal0">
    <w:name w:val="tal"/>
    <w:basedOn w:val="a"/>
    <w:qFormat/>
    <w:pPr>
      <w:spacing w:before="100" w:beforeAutospacing="1" w:after="100" w:afterAutospacing="1" w:line="259" w:lineRule="auto"/>
      <w:jc w:val="both"/>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spacing w:line="259" w:lineRule="auto"/>
      <w:ind w:firstLineChars="200" w:firstLine="420"/>
      <w:jc w:val="both"/>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widowControl w:val="0"/>
      <w:spacing w:after="0" w:line="480" w:lineRule="auto"/>
      <w:jc w:val="both"/>
    </w:pPr>
    <w:rPr>
      <w:rFonts w:asciiTheme="minorHAnsi" w:eastAsiaTheme="minorEastAsia" w:hAnsiTheme="minorHAnsi" w:cstheme="minorBidi"/>
      <w:kern w:val="2"/>
      <w:sz w:val="21"/>
      <w:szCs w:val="22"/>
      <w:lang w:val="en-US" w:eastAsia="zh-CN"/>
    </w:r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ind w:firstLine="420"/>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rsid w:val="00416792"/>
    <w:rPr>
      <w:rFonts w:ascii="Arial" w:hAnsi="Arial"/>
      <w:b/>
      <w:lang w:val="zh-CN" w:eastAsia="en-US"/>
    </w:rPr>
  </w:style>
  <w:style w:type="character" w:styleId="aff9">
    <w:name w:val="Strong"/>
    <w:basedOn w:val="a0"/>
    <w:uiPriority w:val="22"/>
    <w:qFormat/>
    <w:rsid w:val="00F206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716">
      <w:bodyDiv w:val="1"/>
      <w:marLeft w:val="0"/>
      <w:marRight w:val="0"/>
      <w:marTop w:val="0"/>
      <w:marBottom w:val="0"/>
      <w:divBdr>
        <w:top w:val="none" w:sz="0" w:space="0" w:color="auto"/>
        <w:left w:val="none" w:sz="0" w:space="0" w:color="auto"/>
        <w:bottom w:val="none" w:sz="0" w:space="0" w:color="auto"/>
        <w:right w:val="none" w:sz="0" w:space="0" w:color="auto"/>
      </w:divBdr>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13670137">
      <w:bodyDiv w:val="1"/>
      <w:marLeft w:val="0"/>
      <w:marRight w:val="0"/>
      <w:marTop w:val="0"/>
      <w:marBottom w:val="0"/>
      <w:divBdr>
        <w:top w:val="none" w:sz="0" w:space="0" w:color="auto"/>
        <w:left w:val="none" w:sz="0" w:space="0" w:color="auto"/>
        <w:bottom w:val="none" w:sz="0" w:space="0" w:color="auto"/>
        <w:right w:val="none" w:sz="0" w:space="0" w:color="auto"/>
      </w:divBdr>
    </w:div>
    <w:div w:id="184634960">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65119454">
      <w:bodyDiv w:val="1"/>
      <w:marLeft w:val="0"/>
      <w:marRight w:val="0"/>
      <w:marTop w:val="0"/>
      <w:marBottom w:val="0"/>
      <w:divBdr>
        <w:top w:val="none" w:sz="0" w:space="0" w:color="auto"/>
        <w:left w:val="none" w:sz="0" w:space="0" w:color="auto"/>
        <w:bottom w:val="none" w:sz="0" w:space="0" w:color="auto"/>
        <w:right w:val="none" w:sz="0" w:space="0" w:color="auto"/>
      </w:divBdr>
    </w:div>
    <w:div w:id="288047734">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08630545">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17934038">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11882587">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72380200">
      <w:bodyDiv w:val="1"/>
      <w:marLeft w:val="0"/>
      <w:marRight w:val="0"/>
      <w:marTop w:val="0"/>
      <w:marBottom w:val="0"/>
      <w:divBdr>
        <w:top w:val="none" w:sz="0" w:space="0" w:color="auto"/>
        <w:left w:val="none" w:sz="0" w:space="0" w:color="auto"/>
        <w:bottom w:val="none" w:sz="0" w:space="0" w:color="auto"/>
        <w:right w:val="none" w:sz="0" w:space="0" w:color="auto"/>
      </w:divBdr>
    </w:div>
    <w:div w:id="893010401">
      <w:bodyDiv w:val="1"/>
      <w:marLeft w:val="0"/>
      <w:marRight w:val="0"/>
      <w:marTop w:val="0"/>
      <w:marBottom w:val="0"/>
      <w:divBdr>
        <w:top w:val="none" w:sz="0" w:space="0" w:color="auto"/>
        <w:left w:val="none" w:sz="0" w:space="0" w:color="auto"/>
        <w:bottom w:val="none" w:sz="0" w:space="0" w:color="auto"/>
        <w:right w:val="none" w:sz="0" w:space="0" w:color="auto"/>
      </w:divBdr>
    </w:div>
    <w:div w:id="924336075">
      <w:bodyDiv w:val="1"/>
      <w:marLeft w:val="0"/>
      <w:marRight w:val="0"/>
      <w:marTop w:val="0"/>
      <w:marBottom w:val="0"/>
      <w:divBdr>
        <w:top w:val="none" w:sz="0" w:space="0" w:color="auto"/>
        <w:left w:val="none" w:sz="0" w:space="0" w:color="auto"/>
        <w:bottom w:val="none" w:sz="0" w:space="0" w:color="auto"/>
        <w:right w:val="none" w:sz="0" w:space="0" w:color="auto"/>
      </w:divBdr>
    </w:div>
    <w:div w:id="927153437">
      <w:bodyDiv w:val="1"/>
      <w:marLeft w:val="0"/>
      <w:marRight w:val="0"/>
      <w:marTop w:val="0"/>
      <w:marBottom w:val="0"/>
      <w:divBdr>
        <w:top w:val="none" w:sz="0" w:space="0" w:color="auto"/>
        <w:left w:val="none" w:sz="0" w:space="0" w:color="auto"/>
        <w:bottom w:val="none" w:sz="0" w:space="0" w:color="auto"/>
        <w:right w:val="none" w:sz="0" w:space="0" w:color="auto"/>
      </w:divBdr>
      <w:divsChild>
        <w:div w:id="488132652">
          <w:marLeft w:val="44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48968337">
      <w:bodyDiv w:val="1"/>
      <w:marLeft w:val="0"/>
      <w:marRight w:val="0"/>
      <w:marTop w:val="0"/>
      <w:marBottom w:val="0"/>
      <w:divBdr>
        <w:top w:val="none" w:sz="0" w:space="0" w:color="auto"/>
        <w:left w:val="none" w:sz="0" w:space="0" w:color="auto"/>
        <w:bottom w:val="none" w:sz="0" w:space="0" w:color="auto"/>
        <w:right w:val="none" w:sz="0" w:space="0" w:color="auto"/>
      </w:divBdr>
    </w:div>
    <w:div w:id="979383105">
      <w:bodyDiv w:val="1"/>
      <w:marLeft w:val="0"/>
      <w:marRight w:val="0"/>
      <w:marTop w:val="0"/>
      <w:marBottom w:val="0"/>
      <w:divBdr>
        <w:top w:val="none" w:sz="0" w:space="0" w:color="auto"/>
        <w:left w:val="none" w:sz="0" w:space="0" w:color="auto"/>
        <w:bottom w:val="none" w:sz="0" w:space="0" w:color="auto"/>
        <w:right w:val="none" w:sz="0" w:space="0" w:color="auto"/>
      </w:divBdr>
      <w:divsChild>
        <w:div w:id="2004435075">
          <w:marLeft w:val="0"/>
          <w:marRight w:val="0"/>
          <w:marTop w:val="0"/>
          <w:marBottom w:val="206"/>
          <w:divBdr>
            <w:top w:val="none" w:sz="0" w:space="0" w:color="auto"/>
            <w:left w:val="none" w:sz="0" w:space="0" w:color="auto"/>
            <w:bottom w:val="none" w:sz="0" w:space="0" w:color="auto"/>
            <w:right w:val="none" w:sz="0" w:space="0" w:color="auto"/>
          </w:divBdr>
        </w:div>
        <w:div w:id="1869446532">
          <w:marLeft w:val="0"/>
          <w:marRight w:val="0"/>
          <w:marTop w:val="0"/>
          <w:marBottom w:val="206"/>
          <w:divBdr>
            <w:top w:val="none" w:sz="0" w:space="0" w:color="auto"/>
            <w:left w:val="none" w:sz="0" w:space="0" w:color="auto"/>
            <w:bottom w:val="none" w:sz="0" w:space="0" w:color="auto"/>
            <w:right w:val="none" w:sz="0" w:space="0" w:color="auto"/>
          </w:divBdr>
        </w:div>
        <w:div w:id="917399254">
          <w:marLeft w:val="0"/>
          <w:marRight w:val="0"/>
          <w:marTop w:val="0"/>
          <w:marBottom w:val="0"/>
          <w:divBdr>
            <w:top w:val="none" w:sz="0" w:space="0" w:color="auto"/>
            <w:left w:val="none" w:sz="0" w:space="0" w:color="auto"/>
            <w:bottom w:val="none" w:sz="0" w:space="0" w:color="auto"/>
            <w:right w:val="none" w:sz="0" w:space="0" w:color="auto"/>
          </w:divBdr>
        </w:div>
        <w:div w:id="1363554764">
          <w:marLeft w:val="0"/>
          <w:marRight w:val="0"/>
          <w:marTop w:val="0"/>
          <w:marBottom w:val="0"/>
          <w:divBdr>
            <w:top w:val="none" w:sz="0" w:space="0" w:color="auto"/>
            <w:left w:val="none" w:sz="0" w:space="0" w:color="auto"/>
            <w:bottom w:val="none" w:sz="0" w:space="0" w:color="auto"/>
            <w:right w:val="none" w:sz="0" w:space="0" w:color="auto"/>
          </w:divBdr>
        </w:div>
        <w:div w:id="1818449380">
          <w:marLeft w:val="0"/>
          <w:marRight w:val="0"/>
          <w:marTop w:val="206"/>
          <w:marBottom w:val="0"/>
          <w:divBdr>
            <w:top w:val="none" w:sz="0" w:space="0" w:color="auto"/>
            <w:left w:val="none" w:sz="0" w:space="0" w:color="auto"/>
            <w:bottom w:val="none" w:sz="0" w:space="0" w:color="auto"/>
            <w:right w:val="none" w:sz="0" w:space="0" w:color="auto"/>
          </w:divBdr>
        </w:div>
      </w:divsChild>
    </w:div>
    <w:div w:id="986544036">
      <w:bodyDiv w:val="1"/>
      <w:marLeft w:val="0"/>
      <w:marRight w:val="0"/>
      <w:marTop w:val="0"/>
      <w:marBottom w:val="0"/>
      <w:divBdr>
        <w:top w:val="none" w:sz="0" w:space="0" w:color="auto"/>
        <w:left w:val="none" w:sz="0" w:space="0" w:color="auto"/>
        <w:bottom w:val="none" w:sz="0" w:space="0" w:color="auto"/>
        <w:right w:val="none" w:sz="0" w:space="0" w:color="auto"/>
      </w:divBdr>
      <w:divsChild>
        <w:div w:id="1804347877">
          <w:marLeft w:val="0"/>
          <w:marRight w:val="0"/>
          <w:marTop w:val="0"/>
          <w:marBottom w:val="0"/>
          <w:divBdr>
            <w:top w:val="none" w:sz="0" w:space="0" w:color="auto"/>
            <w:left w:val="none" w:sz="0" w:space="0" w:color="auto"/>
            <w:bottom w:val="none" w:sz="0" w:space="0" w:color="auto"/>
            <w:right w:val="none" w:sz="0" w:space="0" w:color="auto"/>
          </w:divBdr>
          <w:divsChild>
            <w:div w:id="246698676">
              <w:marLeft w:val="0"/>
              <w:marRight w:val="0"/>
              <w:marTop w:val="0"/>
              <w:marBottom w:val="0"/>
              <w:divBdr>
                <w:top w:val="none" w:sz="0" w:space="0" w:color="auto"/>
                <w:left w:val="none" w:sz="0" w:space="0" w:color="auto"/>
                <w:bottom w:val="none" w:sz="0" w:space="0" w:color="auto"/>
                <w:right w:val="none" w:sz="0" w:space="0" w:color="auto"/>
              </w:divBdr>
            </w:div>
            <w:div w:id="845436424">
              <w:marLeft w:val="0"/>
              <w:marRight w:val="0"/>
              <w:marTop w:val="0"/>
              <w:marBottom w:val="0"/>
              <w:divBdr>
                <w:top w:val="none" w:sz="0" w:space="0" w:color="auto"/>
                <w:left w:val="none" w:sz="0" w:space="0" w:color="auto"/>
                <w:bottom w:val="none" w:sz="0" w:space="0" w:color="auto"/>
                <w:right w:val="none" w:sz="0" w:space="0" w:color="auto"/>
              </w:divBdr>
            </w:div>
            <w:div w:id="535048034">
              <w:marLeft w:val="0"/>
              <w:marRight w:val="0"/>
              <w:marTop w:val="0"/>
              <w:marBottom w:val="0"/>
              <w:divBdr>
                <w:top w:val="none" w:sz="0" w:space="0" w:color="auto"/>
                <w:left w:val="none" w:sz="0" w:space="0" w:color="auto"/>
                <w:bottom w:val="none" w:sz="0" w:space="0" w:color="auto"/>
                <w:right w:val="none" w:sz="0" w:space="0" w:color="auto"/>
              </w:divBdr>
            </w:div>
            <w:div w:id="1491674768">
              <w:marLeft w:val="0"/>
              <w:marRight w:val="0"/>
              <w:marTop w:val="0"/>
              <w:marBottom w:val="0"/>
              <w:divBdr>
                <w:top w:val="none" w:sz="0" w:space="0" w:color="auto"/>
                <w:left w:val="none" w:sz="0" w:space="0" w:color="auto"/>
                <w:bottom w:val="none" w:sz="0" w:space="0" w:color="auto"/>
                <w:right w:val="none" w:sz="0" w:space="0" w:color="auto"/>
              </w:divBdr>
            </w:div>
            <w:div w:id="1866745206">
              <w:marLeft w:val="0"/>
              <w:marRight w:val="0"/>
              <w:marTop w:val="0"/>
              <w:marBottom w:val="0"/>
              <w:divBdr>
                <w:top w:val="none" w:sz="0" w:space="0" w:color="auto"/>
                <w:left w:val="none" w:sz="0" w:space="0" w:color="auto"/>
                <w:bottom w:val="none" w:sz="0" w:space="0" w:color="auto"/>
                <w:right w:val="none" w:sz="0" w:space="0" w:color="auto"/>
              </w:divBdr>
            </w:div>
            <w:div w:id="1678770807">
              <w:marLeft w:val="0"/>
              <w:marRight w:val="0"/>
              <w:marTop w:val="0"/>
              <w:marBottom w:val="0"/>
              <w:divBdr>
                <w:top w:val="none" w:sz="0" w:space="0" w:color="auto"/>
                <w:left w:val="none" w:sz="0" w:space="0" w:color="auto"/>
                <w:bottom w:val="none" w:sz="0" w:space="0" w:color="auto"/>
                <w:right w:val="none" w:sz="0" w:space="0" w:color="auto"/>
              </w:divBdr>
            </w:div>
            <w:div w:id="71331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3286746">
      <w:bodyDiv w:val="1"/>
      <w:marLeft w:val="0"/>
      <w:marRight w:val="0"/>
      <w:marTop w:val="0"/>
      <w:marBottom w:val="0"/>
      <w:divBdr>
        <w:top w:val="none" w:sz="0" w:space="0" w:color="auto"/>
        <w:left w:val="none" w:sz="0" w:space="0" w:color="auto"/>
        <w:bottom w:val="none" w:sz="0" w:space="0" w:color="auto"/>
        <w:right w:val="none" w:sz="0" w:space="0" w:color="auto"/>
      </w:divBdr>
      <w:divsChild>
        <w:div w:id="538127492">
          <w:marLeft w:val="0"/>
          <w:marRight w:val="0"/>
          <w:marTop w:val="0"/>
          <w:marBottom w:val="0"/>
          <w:divBdr>
            <w:top w:val="single" w:sz="2" w:space="0" w:color="auto"/>
            <w:left w:val="single" w:sz="2" w:space="0" w:color="auto"/>
            <w:bottom w:val="single" w:sz="2" w:space="0" w:color="auto"/>
            <w:right w:val="single" w:sz="2" w:space="0" w:color="auto"/>
          </w:divBdr>
          <w:divsChild>
            <w:div w:id="2075153728">
              <w:marLeft w:val="0"/>
              <w:marRight w:val="0"/>
              <w:marTop w:val="0"/>
              <w:marBottom w:val="0"/>
              <w:divBdr>
                <w:top w:val="single" w:sz="2" w:space="0" w:color="auto"/>
                <w:left w:val="single" w:sz="2" w:space="0" w:color="auto"/>
                <w:bottom w:val="single" w:sz="2" w:space="0" w:color="auto"/>
                <w:right w:val="single" w:sz="2" w:space="0" w:color="auto"/>
              </w:divBdr>
              <w:divsChild>
                <w:div w:id="84115104">
                  <w:marLeft w:val="0"/>
                  <w:marRight w:val="0"/>
                  <w:marTop w:val="0"/>
                  <w:marBottom w:val="0"/>
                  <w:divBdr>
                    <w:top w:val="single" w:sz="2" w:space="0" w:color="auto"/>
                    <w:left w:val="single" w:sz="2" w:space="0" w:color="auto"/>
                    <w:bottom w:val="single" w:sz="2" w:space="0" w:color="auto"/>
                    <w:right w:val="single" w:sz="2" w:space="0" w:color="auto"/>
                  </w:divBdr>
                  <w:divsChild>
                    <w:div w:id="67977170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48548646">
      <w:bodyDiv w:val="1"/>
      <w:marLeft w:val="0"/>
      <w:marRight w:val="0"/>
      <w:marTop w:val="0"/>
      <w:marBottom w:val="0"/>
      <w:divBdr>
        <w:top w:val="none" w:sz="0" w:space="0" w:color="auto"/>
        <w:left w:val="none" w:sz="0" w:space="0" w:color="auto"/>
        <w:bottom w:val="none" w:sz="0" w:space="0" w:color="auto"/>
        <w:right w:val="none" w:sz="0" w:space="0" w:color="auto"/>
      </w:divBdr>
      <w:divsChild>
        <w:div w:id="581960823">
          <w:marLeft w:val="0"/>
          <w:marRight w:val="0"/>
          <w:marTop w:val="0"/>
          <w:marBottom w:val="0"/>
          <w:divBdr>
            <w:top w:val="none" w:sz="0" w:space="0" w:color="auto"/>
            <w:left w:val="none" w:sz="0" w:space="0" w:color="auto"/>
            <w:bottom w:val="none" w:sz="0" w:space="0" w:color="auto"/>
            <w:right w:val="none" w:sz="0" w:space="0" w:color="auto"/>
          </w:divBdr>
        </w:div>
      </w:divsChild>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4822093">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265501206">
      <w:bodyDiv w:val="1"/>
      <w:marLeft w:val="0"/>
      <w:marRight w:val="0"/>
      <w:marTop w:val="0"/>
      <w:marBottom w:val="0"/>
      <w:divBdr>
        <w:top w:val="none" w:sz="0" w:space="0" w:color="auto"/>
        <w:left w:val="none" w:sz="0" w:space="0" w:color="auto"/>
        <w:bottom w:val="none" w:sz="0" w:space="0" w:color="auto"/>
        <w:right w:val="none" w:sz="0" w:space="0" w:color="auto"/>
      </w:divBdr>
    </w:div>
    <w:div w:id="1351879887">
      <w:bodyDiv w:val="1"/>
      <w:marLeft w:val="0"/>
      <w:marRight w:val="0"/>
      <w:marTop w:val="0"/>
      <w:marBottom w:val="0"/>
      <w:divBdr>
        <w:top w:val="none" w:sz="0" w:space="0" w:color="auto"/>
        <w:left w:val="none" w:sz="0" w:space="0" w:color="auto"/>
        <w:bottom w:val="none" w:sz="0" w:space="0" w:color="auto"/>
        <w:right w:val="none" w:sz="0" w:space="0" w:color="auto"/>
      </w:divBdr>
      <w:divsChild>
        <w:div w:id="1939749079">
          <w:marLeft w:val="0"/>
          <w:marRight w:val="0"/>
          <w:marTop w:val="0"/>
          <w:marBottom w:val="206"/>
          <w:divBdr>
            <w:top w:val="none" w:sz="0" w:space="0" w:color="auto"/>
            <w:left w:val="none" w:sz="0" w:space="0" w:color="auto"/>
            <w:bottom w:val="none" w:sz="0" w:space="0" w:color="auto"/>
            <w:right w:val="none" w:sz="0" w:space="0" w:color="auto"/>
          </w:divBdr>
        </w:div>
        <w:div w:id="498038888">
          <w:marLeft w:val="0"/>
          <w:marRight w:val="0"/>
          <w:marTop w:val="0"/>
          <w:marBottom w:val="206"/>
          <w:divBdr>
            <w:top w:val="none" w:sz="0" w:space="0" w:color="auto"/>
            <w:left w:val="none" w:sz="0" w:space="0" w:color="auto"/>
            <w:bottom w:val="none" w:sz="0" w:space="0" w:color="auto"/>
            <w:right w:val="none" w:sz="0" w:space="0" w:color="auto"/>
          </w:divBdr>
        </w:div>
        <w:div w:id="1978143162">
          <w:marLeft w:val="0"/>
          <w:marRight w:val="0"/>
          <w:marTop w:val="0"/>
          <w:marBottom w:val="0"/>
          <w:divBdr>
            <w:top w:val="none" w:sz="0" w:space="0" w:color="auto"/>
            <w:left w:val="none" w:sz="0" w:space="0" w:color="auto"/>
            <w:bottom w:val="none" w:sz="0" w:space="0" w:color="auto"/>
            <w:right w:val="none" w:sz="0" w:space="0" w:color="auto"/>
          </w:divBdr>
        </w:div>
        <w:div w:id="727460154">
          <w:marLeft w:val="0"/>
          <w:marRight w:val="0"/>
          <w:marTop w:val="0"/>
          <w:marBottom w:val="0"/>
          <w:divBdr>
            <w:top w:val="none" w:sz="0" w:space="0" w:color="auto"/>
            <w:left w:val="none" w:sz="0" w:space="0" w:color="auto"/>
            <w:bottom w:val="none" w:sz="0" w:space="0" w:color="auto"/>
            <w:right w:val="none" w:sz="0" w:space="0" w:color="auto"/>
          </w:divBdr>
        </w:div>
        <w:div w:id="429472864">
          <w:marLeft w:val="0"/>
          <w:marRight w:val="0"/>
          <w:marTop w:val="206"/>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3764101">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30144411">
      <w:bodyDiv w:val="1"/>
      <w:marLeft w:val="0"/>
      <w:marRight w:val="0"/>
      <w:marTop w:val="0"/>
      <w:marBottom w:val="0"/>
      <w:divBdr>
        <w:top w:val="none" w:sz="0" w:space="0" w:color="auto"/>
        <w:left w:val="none" w:sz="0" w:space="0" w:color="auto"/>
        <w:bottom w:val="none" w:sz="0" w:space="0" w:color="auto"/>
        <w:right w:val="none" w:sz="0" w:space="0" w:color="auto"/>
      </w:divBdr>
      <w:divsChild>
        <w:div w:id="904148708">
          <w:marLeft w:val="0"/>
          <w:marRight w:val="0"/>
          <w:marTop w:val="0"/>
          <w:marBottom w:val="0"/>
          <w:divBdr>
            <w:top w:val="none" w:sz="0" w:space="0" w:color="auto"/>
            <w:left w:val="none" w:sz="0" w:space="0" w:color="auto"/>
            <w:bottom w:val="none" w:sz="0" w:space="0" w:color="auto"/>
            <w:right w:val="none" w:sz="0" w:space="0" w:color="auto"/>
          </w:divBdr>
          <w:divsChild>
            <w:div w:id="612250303">
              <w:marLeft w:val="0"/>
              <w:marRight w:val="0"/>
              <w:marTop w:val="0"/>
              <w:marBottom w:val="0"/>
              <w:divBdr>
                <w:top w:val="none" w:sz="0" w:space="0" w:color="auto"/>
                <w:left w:val="none" w:sz="0" w:space="0" w:color="auto"/>
                <w:bottom w:val="none" w:sz="0" w:space="0" w:color="auto"/>
                <w:right w:val="none" w:sz="0" w:space="0" w:color="auto"/>
              </w:divBdr>
            </w:div>
            <w:div w:id="1789543239">
              <w:marLeft w:val="0"/>
              <w:marRight w:val="0"/>
              <w:marTop w:val="0"/>
              <w:marBottom w:val="0"/>
              <w:divBdr>
                <w:top w:val="none" w:sz="0" w:space="0" w:color="auto"/>
                <w:left w:val="none" w:sz="0" w:space="0" w:color="auto"/>
                <w:bottom w:val="none" w:sz="0" w:space="0" w:color="auto"/>
                <w:right w:val="none" w:sz="0" w:space="0" w:color="auto"/>
              </w:divBdr>
            </w:div>
            <w:div w:id="498034776">
              <w:marLeft w:val="0"/>
              <w:marRight w:val="0"/>
              <w:marTop w:val="0"/>
              <w:marBottom w:val="0"/>
              <w:divBdr>
                <w:top w:val="none" w:sz="0" w:space="0" w:color="auto"/>
                <w:left w:val="none" w:sz="0" w:space="0" w:color="auto"/>
                <w:bottom w:val="none" w:sz="0" w:space="0" w:color="auto"/>
                <w:right w:val="none" w:sz="0" w:space="0" w:color="auto"/>
              </w:divBdr>
            </w:div>
            <w:div w:id="597719944">
              <w:marLeft w:val="0"/>
              <w:marRight w:val="0"/>
              <w:marTop w:val="0"/>
              <w:marBottom w:val="0"/>
              <w:divBdr>
                <w:top w:val="none" w:sz="0" w:space="0" w:color="auto"/>
                <w:left w:val="none" w:sz="0" w:space="0" w:color="auto"/>
                <w:bottom w:val="none" w:sz="0" w:space="0" w:color="auto"/>
                <w:right w:val="none" w:sz="0" w:space="0" w:color="auto"/>
              </w:divBdr>
            </w:div>
            <w:div w:id="454064680">
              <w:marLeft w:val="0"/>
              <w:marRight w:val="0"/>
              <w:marTop w:val="0"/>
              <w:marBottom w:val="0"/>
              <w:divBdr>
                <w:top w:val="none" w:sz="0" w:space="0" w:color="auto"/>
                <w:left w:val="none" w:sz="0" w:space="0" w:color="auto"/>
                <w:bottom w:val="none" w:sz="0" w:space="0" w:color="auto"/>
                <w:right w:val="none" w:sz="0" w:space="0" w:color="auto"/>
              </w:divBdr>
            </w:div>
            <w:div w:id="1784298190">
              <w:marLeft w:val="0"/>
              <w:marRight w:val="0"/>
              <w:marTop w:val="0"/>
              <w:marBottom w:val="0"/>
              <w:divBdr>
                <w:top w:val="none" w:sz="0" w:space="0" w:color="auto"/>
                <w:left w:val="none" w:sz="0" w:space="0" w:color="auto"/>
                <w:bottom w:val="none" w:sz="0" w:space="0" w:color="auto"/>
                <w:right w:val="none" w:sz="0" w:space="0" w:color="auto"/>
              </w:divBdr>
            </w:div>
            <w:div w:id="2092771674">
              <w:marLeft w:val="0"/>
              <w:marRight w:val="0"/>
              <w:marTop w:val="0"/>
              <w:marBottom w:val="0"/>
              <w:divBdr>
                <w:top w:val="none" w:sz="0" w:space="0" w:color="auto"/>
                <w:left w:val="none" w:sz="0" w:space="0" w:color="auto"/>
                <w:bottom w:val="none" w:sz="0" w:space="0" w:color="auto"/>
                <w:right w:val="none" w:sz="0" w:space="0" w:color="auto"/>
              </w:divBdr>
            </w:div>
            <w:div w:id="2053769292">
              <w:marLeft w:val="0"/>
              <w:marRight w:val="0"/>
              <w:marTop w:val="0"/>
              <w:marBottom w:val="0"/>
              <w:divBdr>
                <w:top w:val="none" w:sz="0" w:space="0" w:color="auto"/>
                <w:left w:val="none" w:sz="0" w:space="0" w:color="auto"/>
                <w:bottom w:val="none" w:sz="0" w:space="0" w:color="auto"/>
                <w:right w:val="none" w:sz="0" w:space="0" w:color="auto"/>
              </w:divBdr>
            </w:div>
            <w:div w:id="1708993344">
              <w:marLeft w:val="0"/>
              <w:marRight w:val="0"/>
              <w:marTop w:val="0"/>
              <w:marBottom w:val="0"/>
              <w:divBdr>
                <w:top w:val="none" w:sz="0" w:space="0" w:color="auto"/>
                <w:left w:val="none" w:sz="0" w:space="0" w:color="auto"/>
                <w:bottom w:val="none" w:sz="0" w:space="0" w:color="auto"/>
                <w:right w:val="none" w:sz="0" w:space="0" w:color="auto"/>
              </w:divBdr>
            </w:div>
            <w:div w:id="1232273977">
              <w:marLeft w:val="0"/>
              <w:marRight w:val="0"/>
              <w:marTop w:val="0"/>
              <w:marBottom w:val="0"/>
              <w:divBdr>
                <w:top w:val="none" w:sz="0" w:space="0" w:color="auto"/>
                <w:left w:val="none" w:sz="0" w:space="0" w:color="auto"/>
                <w:bottom w:val="none" w:sz="0" w:space="0" w:color="auto"/>
                <w:right w:val="none" w:sz="0" w:space="0" w:color="auto"/>
              </w:divBdr>
            </w:div>
            <w:div w:id="1533152886">
              <w:marLeft w:val="0"/>
              <w:marRight w:val="0"/>
              <w:marTop w:val="0"/>
              <w:marBottom w:val="0"/>
              <w:divBdr>
                <w:top w:val="none" w:sz="0" w:space="0" w:color="auto"/>
                <w:left w:val="none" w:sz="0" w:space="0" w:color="auto"/>
                <w:bottom w:val="none" w:sz="0" w:space="0" w:color="auto"/>
                <w:right w:val="none" w:sz="0" w:space="0" w:color="auto"/>
              </w:divBdr>
            </w:div>
            <w:div w:id="1513763334">
              <w:marLeft w:val="0"/>
              <w:marRight w:val="0"/>
              <w:marTop w:val="0"/>
              <w:marBottom w:val="0"/>
              <w:divBdr>
                <w:top w:val="none" w:sz="0" w:space="0" w:color="auto"/>
                <w:left w:val="none" w:sz="0" w:space="0" w:color="auto"/>
                <w:bottom w:val="none" w:sz="0" w:space="0" w:color="auto"/>
                <w:right w:val="none" w:sz="0" w:space="0" w:color="auto"/>
              </w:divBdr>
            </w:div>
            <w:div w:id="678889745">
              <w:marLeft w:val="0"/>
              <w:marRight w:val="0"/>
              <w:marTop w:val="0"/>
              <w:marBottom w:val="0"/>
              <w:divBdr>
                <w:top w:val="none" w:sz="0" w:space="0" w:color="auto"/>
                <w:left w:val="none" w:sz="0" w:space="0" w:color="auto"/>
                <w:bottom w:val="none" w:sz="0" w:space="0" w:color="auto"/>
                <w:right w:val="none" w:sz="0" w:space="0" w:color="auto"/>
              </w:divBdr>
            </w:div>
            <w:div w:id="1485783074">
              <w:marLeft w:val="0"/>
              <w:marRight w:val="0"/>
              <w:marTop w:val="0"/>
              <w:marBottom w:val="0"/>
              <w:divBdr>
                <w:top w:val="none" w:sz="0" w:space="0" w:color="auto"/>
                <w:left w:val="none" w:sz="0" w:space="0" w:color="auto"/>
                <w:bottom w:val="none" w:sz="0" w:space="0" w:color="auto"/>
                <w:right w:val="none" w:sz="0" w:space="0" w:color="auto"/>
              </w:divBdr>
            </w:div>
            <w:div w:id="1636137815">
              <w:marLeft w:val="0"/>
              <w:marRight w:val="0"/>
              <w:marTop w:val="0"/>
              <w:marBottom w:val="0"/>
              <w:divBdr>
                <w:top w:val="none" w:sz="0" w:space="0" w:color="auto"/>
                <w:left w:val="none" w:sz="0" w:space="0" w:color="auto"/>
                <w:bottom w:val="none" w:sz="0" w:space="0" w:color="auto"/>
                <w:right w:val="none" w:sz="0" w:space="0" w:color="auto"/>
              </w:divBdr>
            </w:div>
            <w:div w:id="677850705">
              <w:marLeft w:val="0"/>
              <w:marRight w:val="0"/>
              <w:marTop w:val="0"/>
              <w:marBottom w:val="0"/>
              <w:divBdr>
                <w:top w:val="none" w:sz="0" w:space="0" w:color="auto"/>
                <w:left w:val="none" w:sz="0" w:space="0" w:color="auto"/>
                <w:bottom w:val="none" w:sz="0" w:space="0" w:color="auto"/>
                <w:right w:val="none" w:sz="0" w:space="0" w:color="auto"/>
              </w:divBdr>
            </w:div>
            <w:div w:id="1778672903">
              <w:marLeft w:val="0"/>
              <w:marRight w:val="0"/>
              <w:marTop w:val="0"/>
              <w:marBottom w:val="0"/>
              <w:divBdr>
                <w:top w:val="none" w:sz="0" w:space="0" w:color="auto"/>
                <w:left w:val="none" w:sz="0" w:space="0" w:color="auto"/>
                <w:bottom w:val="none" w:sz="0" w:space="0" w:color="auto"/>
                <w:right w:val="none" w:sz="0" w:space="0" w:color="auto"/>
              </w:divBdr>
            </w:div>
            <w:div w:id="1557203855">
              <w:marLeft w:val="0"/>
              <w:marRight w:val="0"/>
              <w:marTop w:val="0"/>
              <w:marBottom w:val="0"/>
              <w:divBdr>
                <w:top w:val="none" w:sz="0" w:space="0" w:color="auto"/>
                <w:left w:val="none" w:sz="0" w:space="0" w:color="auto"/>
                <w:bottom w:val="none" w:sz="0" w:space="0" w:color="auto"/>
                <w:right w:val="none" w:sz="0" w:space="0" w:color="auto"/>
              </w:divBdr>
            </w:div>
            <w:div w:id="296423583">
              <w:marLeft w:val="0"/>
              <w:marRight w:val="0"/>
              <w:marTop w:val="0"/>
              <w:marBottom w:val="0"/>
              <w:divBdr>
                <w:top w:val="none" w:sz="0" w:space="0" w:color="auto"/>
                <w:left w:val="none" w:sz="0" w:space="0" w:color="auto"/>
                <w:bottom w:val="none" w:sz="0" w:space="0" w:color="auto"/>
                <w:right w:val="none" w:sz="0" w:space="0" w:color="auto"/>
              </w:divBdr>
            </w:div>
            <w:div w:id="713772313">
              <w:marLeft w:val="0"/>
              <w:marRight w:val="0"/>
              <w:marTop w:val="0"/>
              <w:marBottom w:val="0"/>
              <w:divBdr>
                <w:top w:val="none" w:sz="0" w:space="0" w:color="auto"/>
                <w:left w:val="none" w:sz="0" w:space="0" w:color="auto"/>
                <w:bottom w:val="none" w:sz="0" w:space="0" w:color="auto"/>
                <w:right w:val="none" w:sz="0" w:space="0" w:color="auto"/>
              </w:divBdr>
            </w:div>
            <w:div w:id="1757045280">
              <w:marLeft w:val="0"/>
              <w:marRight w:val="0"/>
              <w:marTop w:val="0"/>
              <w:marBottom w:val="0"/>
              <w:divBdr>
                <w:top w:val="none" w:sz="0" w:space="0" w:color="auto"/>
                <w:left w:val="none" w:sz="0" w:space="0" w:color="auto"/>
                <w:bottom w:val="none" w:sz="0" w:space="0" w:color="auto"/>
                <w:right w:val="none" w:sz="0" w:space="0" w:color="auto"/>
              </w:divBdr>
            </w:div>
            <w:div w:id="425347219">
              <w:marLeft w:val="0"/>
              <w:marRight w:val="0"/>
              <w:marTop w:val="0"/>
              <w:marBottom w:val="0"/>
              <w:divBdr>
                <w:top w:val="none" w:sz="0" w:space="0" w:color="auto"/>
                <w:left w:val="none" w:sz="0" w:space="0" w:color="auto"/>
                <w:bottom w:val="none" w:sz="0" w:space="0" w:color="auto"/>
                <w:right w:val="none" w:sz="0" w:space="0" w:color="auto"/>
              </w:divBdr>
            </w:div>
            <w:div w:id="1087193304">
              <w:marLeft w:val="0"/>
              <w:marRight w:val="0"/>
              <w:marTop w:val="0"/>
              <w:marBottom w:val="0"/>
              <w:divBdr>
                <w:top w:val="none" w:sz="0" w:space="0" w:color="auto"/>
                <w:left w:val="none" w:sz="0" w:space="0" w:color="auto"/>
                <w:bottom w:val="none" w:sz="0" w:space="0" w:color="auto"/>
                <w:right w:val="none" w:sz="0" w:space="0" w:color="auto"/>
              </w:divBdr>
            </w:div>
            <w:div w:id="809443007">
              <w:marLeft w:val="0"/>
              <w:marRight w:val="0"/>
              <w:marTop w:val="0"/>
              <w:marBottom w:val="0"/>
              <w:divBdr>
                <w:top w:val="none" w:sz="0" w:space="0" w:color="auto"/>
                <w:left w:val="none" w:sz="0" w:space="0" w:color="auto"/>
                <w:bottom w:val="none" w:sz="0" w:space="0" w:color="auto"/>
                <w:right w:val="none" w:sz="0" w:space="0" w:color="auto"/>
              </w:divBdr>
            </w:div>
            <w:div w:id="260841979">
              <w:marLeft w:val="0"/>
              <w:marRight w:val="0"/>
              <w:marTop w:val="0"/>
              <w:marBottom w:val="0"/>
              <w:divBdr>
                <w:top w:val="none" w:sz="0" w:space="0" w:color="auto"/>
                <w:left w:val="none" w:sz="0" w:space="0" w:color="auto"/>
                <w:bottom w:val="none" w:sz="0" w:space="0" w:color="auto"/>
                <w:right w:val="none" w:sz="0" w:space="0" w:color="auto"/>
              </w:divBdr>
            </w:div>
            <w:div w:id="531917654">
              <w:marLeft w:val="0"/>
              <w:marRight w:val="0"/>
              <w:marTop w:val="0"/>
              <w:marBottom w:val="0"/>
              <w:divBdr>
                <w:top w:val="none" w:sz="0" w:space="0" w:color="auto"/>
                <w:left w:val="none" w:sz="0" w:space="0" w:color="auto"/>
                <w:bottom w:val="none" w:sz="0" w:space="0" w:color="auto"/>
                <w:right w:val="none" w:sz="0" w:space="0" w:color="auto"/>
              </w:divBdr>
            </w:div>
            <w:div w:id="1503354990">
              <w:marLeft w:val="0"/>
              <w:marRight w:val="0"/>
              <w:marTop w:val="0"/>
              <w:marBottom w:val="0"/>
              <w:divBdr>
                <w:top w:val="none" w:sz="0" w:space="0" w:color="auto"/>
                <w:left w:val="none" w:sz="0" w:space="0" w:color="auto"/>
                <w:bottom w:val="none" w:sz="0" w:space="0" w:color="auto"/>
                <w:right w:val="none" w:sz="0" w:space="0" w:color="auto"/>
              </w:divBdr>
            </w:div>
            <w:div w:id="184867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389417">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1859788">
      <w:bodyDiv w:val="1"/>
      <w:marLeft w:val="0"/>
      <w:marRight w:val="0"/>
      <w:marTop w:val="0"/>
      <w:marBottom w:val="0"/>
      <w:divBdr>
        <w:top w:val="none" w:sz="0" w:space="0" w:color="auto"/>
        <w:left w:val="none" w:sz="0" w:space="0" w:color="auto"/>
        <w:bottom w:val="none" w:sz="0" w:space="0" w:color="auto"/>
        <w:right w:val="none" w:sz="0" w:space="0" w:color="auto"/>
      </w:divBdr>
    </w:div>
    <w:div w:id="1758095106">
      <w:bodyDiv w:val="1"/>
      <w:marLeft w:val="0"/>
      <w:marRight w:val="0"/>
      <w:marTop w:val="0"/>
      <w:marBottom w:val="0"/>
      <w:divBdr>
        <w:top w:val="none" w:sz="0" w:space="0" w:color="auto"/>
        <w:left w:val="none" w:sz="0" w:space="0" w:color="auto"/>
        <w:bottom w:val="none" w:sz="0" w:space="0" w:color="auto"/>
        <w:right w:val="none" w:sz="0" w:space="0" w:color="auto"/>
      </w:divBdr>
      <w:divsChild>
        <w:div w:id="1510296718">
          <w:marLeft w:val="446"/>
          <w:marRight w:val="0"/>
          <w:marTop w:val="0"/>
          <w:marBottom w:val="0"/>
          <w:divBdr>
            <w:top w:val="none" w:sz="0" w:space="0" w:color="auto"/>
            <w:left w:val="none" w:sz="0" w:space="0" w:color="auto"/>
            <w:bottom w:val="none" w:sz="0" w:space="0" w:color="auto"/>
            <w:right w:val="none" w:sz="0" w:space="0" w:color="auto"/>
          </w:divBdr>
        </w:div>
        <w:div w:id="1507793077">
          <w:marLeft w:val="446"/>
          <w:marRight w:val="0"/>
          <w:marTop w:val="0"/>
          <w:marBottom w:val="0"/>
          <w:divBdr>
            <w:top w:val="none" w:sz="0" w:space="0" w:color="auto"/>
            <w:left w:val="none" w:sz="0" w:space="0" w:color="auto"/>
            <w:bottom w:val="none" w:sz="0" w:space="0" w:color="auto"/>
            <w:right w:val="none" w:sz="0" w:space="0" w:color="auto"/>
          </w:divBdr>
        </w:div>
      </w:divsChild>
    </w:div>
    <w:div w:id="1773279306">
      <w:bodyDiv w:val="1"/>
      <w:marLeft w:val="0"/>
      <w:marRight w:val="0"/>
      <w:marTop w:val="0"/>
      <w:marBottom w:val="0"/>
      <w:divBdr>
        <w:top w:val="none" w:sz="0" w:space="0" w:color="auto"/>
        <w:left w:val="none" w:sz="0" w:space="0" w:color="auto"/>
        <w:bottom w:val="none" w:sz="0" w:space="0" w:color="auto"/>
        <w:right w:val="none" w:sz="0" w:space="0" w:color="auto"/>
      </w:divBdr>
      <w:divsChild>
        <w:div w:id="1000426371">
          <w:marLeft w:val="0"/>
          <w:marRight w:val="0"/>
          <w:marTop w:val="0"/>
          <w:marBottom w:val="206"/>
          <w:divBdr>
            <w:top w:val="none" w:sz="0" w:space="0" w:color="auto"/>
            <w:left w:val="none" w:sz="0" w:space="0" w:color="auto"/>
            <w:bottom w:val="none" w:sz="0" w:space="0" w:color="auto"/>
            <w:right w:val="none" w:sz="0" w:space="0" w:color="auto"/>
          </w:divBdr>
        </w:div>
        <w:div w:id="149492891">
          <w:marLeft w:val="0"/>
          <w:marRight w:val="0"/>
          <w:marTop w:val="0"/>
          <w:marBottom w:val="206"/>
          <w:divBdr>
            <w:top w:val="none" w:sz="0" w:space="0" w:color="auto"/>
            <w:left w:val="none" w:sz="0" w:space="0" w:color="auto"/>
            <w:bottom w:val="none" w:sz="0" w:space="0" w:color="auto"/>
            <w:right w:val="none" w:sz="0" w:space="0" w:color="auto"/>
          </w:divBdr>
        </w:div>
        <w:div w:id="1883516696">
          <w:marLeft w:val="0"/>
          <w:marRight w:val="0"/>
          <w:marTop w:val="0"/>
          <w:marBottom w:val="0"/>
          <w:divBdr>
            <w:top w:val="none" w:sz="0" w:space="0" w:color="auto"/>
            <w:left w:val="none" w:sz="0" w:space="0" w:color="auto"/>
            <w:bottom w:val="none" w:sz="0" w:space="0" w:color="auto"/>
            <w:right w:val="none" w:sz="0" w:space="0" w:color="auto"/>
          </w:divBdr>
        </w:div>
        <w:div w:id="1101414926">
          <w:marLeft w:val="0"/>
          <w:marRight w:val="0"/>
          <w:marTop w:val="0"/>
          <w:marBottom w:val="0"/>
          <w:divBdr>
            <w:top w:val="none" w:sz="0" w:space="0" w:color="auto"/>
            <w:left w:val="none" w:sz="0" w:space="0" w:color="auto"/>
            <w:bottom w:val="none" w:sz="0" w:space="0" w:color="auto"/>
            <w:right w:val="none" w:sz="0" w:space="0" w:color="auto"/>
          </w:divBdr>
        </w:div>
        <w:div w:id="784734256">
          <w:marLeft w:val="0"/>
          <w:marRight w:val="0"/>
          <w:marTop w:val="206"/>
          <w:marBottom w:val="0"/>
          <w:divBdr>
            <w:top w:val="none" w:sz="0" w:space="0" w:color="auto"/>
            <w:left w:val="none" w:sz="0" w:space="0" w:color="auto"/>
            <w:bottom w:val="none" w:sz="0" w:space="0" w:color="auto"/>
            <w:right w:val="none" w:sz="0" w:space="0" w:color="auto"/>
          </w:divBdr>
        </w:div>
      </w:divsChild>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39363617">
      <w:bodyDiv w:val="1"/>
      <w:marLeft w:val="0"/>
      <w:marRight w:val="0"/>
      <w:marTop w:val="0"/>
      <w:marBottom w:val="0"/>
      <w:divBdr>
        <w:top w:val="none" w:sz="0" w:space="0" w:color="auto"/>
        <w:left w:val="none" w:sz="0" w:space="0" w:color="auto"/>
        <w:bottom w:val="none" w:sz="0" w:space="0" w:color="auto"/>
        <w:right w:val="none" w:sz="0" w:space="0" w:color="auto"/>
      </w:divBdr>
      <w:divsChild>
        <w:div w:id="136461717">
          <w:marLeft w:val="1166"/>
          <w:marRight w:val="0"/>
          <w:marTop w:val="0"/>
          <w:marBottom w:val="0"/>
          <w:divBdr>
            <w:top w:val="none" w:sz="0" w:space="0" w:color="auto"/>
            <w:left w:val="none" w:sz="0" w:space="0" w:color="auto"/>
            <w:bottom w:val="none" w:sz="0" w:space="0" w:color="auto"/>
            <w:right w:val="none" w:sz="0" w:space="0" w:color="auto"/>
          </w:divBdr>
        </w:div>
        <w:div w:id="661351136">
          <w:marLeft w:val="1166"/>
          <w:marRight w:val="0"/>
          <w:marTop w:val="0"/>
          <w:marBottom w:val="0"/>
          <w:divBdr>
            <w:top w:val="none" w:sz="0" w:space="0" w:color="auto"/>
            <w:left w:val="none" w:sz="0" w:space="0" w:color="auto"/>
            <w:bottom w:val="none" w:sz="0" w:space="0" w:color="auto"/>
            <w:right w:val="none" w:sz="0" w:space="0" w:color="auto"/>
          </w:divBdr>
        </w:div>
        <w:div w:id="725644823">
          <w:marLeft w:val="446"/>
          <w:marRight w:val="0"/>
          <w:marTop w:val="0"/>
          <w:marBottom w:val="0"/>
          <w:divBdr>
            <w:top w:val="none" w:sz="0" w:space="0" w:color="auto"/>
            <w:left w:val="none" w:sz="0" w:space="0" w:color="auto"/>
            <w:bottom w:val="none" w:sz="0" w:space="0" w:color="auto"/>
            <w:right w:val="none" w:sz="0" w:space="0" w:color="auto"/>
          </w:divBdr>
        </w:div>
        <w:div w:id="972249048">
          <w:marLeft w:val="446"/>
          <w:marRight w:val="0"/>
          <w:marTop w:val="0"/>
          <w:marBottom w:val="0"/>
          <w:divBdr>
            <w:top w:val="none" w:sz="0" w:space="0" w:color="auto"/>
            <w:left w:val="none" w:sz="0" w:space="0" w:color="auto"/>
            <w:bottom w:val="none" w:sz="0" w:space="0" w:color="auto"/>
            <w:right w:val="none" w:sz="0" w:space="0" w:color="auto"/>
          </w:divBdr>
        </w:div>
      </w:divsChild>
    </w:div>
    <w:div w:id="1980646699">
      <w:bodyDiv w:val="1"/>
      <w:marLeft w:val="0"/>
      <w:marRight w:val="0"/>
      <w:marTop w:val="0"/>
      <w:marBottom w:val="0"/>
      <w:divBdr>
        <w:top w:val="none" w:sz="0" w:space="0" w:color="auto"/>
        <w:left w:val="none" w:sz="0" w:space="0" w:color="auto"/>
        <w:bottom w:val="none" w:sz="0" w:space="0" w:color="auto"/>
        <w:right w:val="none" w:sz="0" w:space="0" w:color="auto"/>
      </w:divBdr>
      <w:divsChild>
        <w:div w:id="1806005069">
          <w:marLeft w:val="0"/>
          <w:marRight w:val="0"/>
          <w:marTop w:val="0"/>
          <w:marBottom w:val="0"/>
          <w:divBdr>
            <w:top w:val="none" w:sz="0" w:space="0" w:color="auto"/>
            <w:left w:val="none" w:sz="0" w:space="0" w:color="auto"/>
            <w:bottom w:val="none" w:sz="0" w:space="0" w:color="auto"/>
            <w:right w:val="none" w:sz="0" w:space="0" w:color="auto"/>
          </w:divBdr>
          <w:divsChild>
            <w:div w:id="1486697725">
              <w:marLeft w:val="0"/>
              <w:marRight w:val="0"/>
              <w:marTop w:val="0"/>
              <w:marBottom w:val="0"/>
              <w:divBdr>
                <w:top w:val="none" w:sz="0" w:space="0" w:color="auto"/>
                <w:left w:val="none" w:sz="0" w:space="0" w:color="auto"/>
                <w:bottom w:val="none" w:sz="0" w:space="0" w:color="auto"/>
                <w:right w:val="none" w:sz="0" w:space="0" w:color="auto"/>
              </w:divBdr>
            </w:div>
            <w:div w:id="1235555943">
              <w:marLeft w:val="0"/>
              <w:marRight w:val="0"/>
              <w:marTop w:val="0"/>
              <w:marBottom w:val="0"/>
              <w:divBdr>
                <w:top w:val="none" w:sz="0" w:space="0" w:color="auto"/>
                <w:left w:val="none" w:sz="0" w:space="0" w:color="auto"/>
                <w:bottom w:val="none" w:sz="0" w:space="0" w:color="auto"/>
                <w:right w:val="none" w:sz="0" w:space="0" w:color="auto"/>
              </w:divBdr>
            </w:div>
            <w:div w:id="183783899">
              <w:marLeft w:val="0"/>
              <w:marRight w:val="0"/>
              <w:marTop w:val="0"/>
              <w:marBottom w:val="0"/>
              <w:divBdr>
                <w:top w:val="none" w:sz="0" w:space="0" w:color="auto"/>
                <w:left w:val="none" w:sz="0" w:space="0" w:color="auto"/>
                <w:bottom w:val="none" w:sz="0" w:space="0" w:color="auto"/>
                <w:right w:val="none" w:sz="0" w:space="0" w:color="auto"/>
              </w:divBdr>
            </w:div>
            <w:div w:id="1466318696">
              <w:marLeft w:val="0"/>
              <w:marRight w:val="0"/>
              <w:marTop w:val="0"/>
              <w:marBottom w:val="0"/>
              <w:divBdr>
                <w:top w:val="none" w:sz="0" w:space="0" w:color="auto"/>
                <w:left w:val="none" w:sz="0" w:space="0" w:color="auto"/>
                <w:bottom w:val="none" w:sz="0" w:space="0" w:color="auto"/>
                <w:right w:val="none" w:sz="0" w:space="0" w:color="auto"/>
              </w:divBdr>
            </w:div>
            <w:div w:id="96752972">
              <w:marLeft w:val="0"/>
              <w:marRight w:val="0"/>
              <w:marTop w:val="0"/>
              <w:marBottom w:val="0"/>
              <w:divBdr>
                <w:top w:val="none" w:sz="0" w:space="0" w:color="auto"/>
                <w:left w:val="none" w:sz="0" w:space="0" w:color="auto"/>
                <w:bottom w:val="none" w:sz="0" w:space="0" w:color="auto"/>
                <w:right w:val="none" w:sz="0" w:space="0" w:color="auto"/>
              </w:divBdr>
            </w:div>
            <w:div w:id="1746563506">
              <w:marLeft w:val="0"/>
              <w:marRight w:val="0"/>
              <w:marTop w:val="0"/>
              <w:marBottom w:val="0"/>
              <w:divBdr>
                <w:top w:val="none" w:sz="0" w:space="0" w:color="auto"/>
                <w:left w:val="none" w:sz="0" w:space="0" w:color="auto"/>
                <w:bottom w:val="none" w:sz="0" w:space="0" w:color="auto"/>
                <w:right w:val="none" w:sz="0" w:space="0" w:color="auto"/>
              </w:divBdr>
            </w:div>
            <w:div w:id="1667973484">
              <w:marLeft w:val="0"/>
              <w:marRight w:val="0"/>
              <w:marTop w:val="0"/>
              <w:marBottom w:val="0"/>
              <w:divBdr>
                <w:top w:val="none" w:sz="0" w:space="0" w:color="auto"/>
                <w:left w:val="none" w:sz="0" w:space="0" w:color="auto"/>
                <w:bottom w:val="none" w:sz="0" w:space="0" w:color="auto"/>
                <w:right w:val="none" w:sz="0" w:space="0" w:color="auto"/>
              </w:divBdr>
            </w:div>
            <w:div w:id="2044667367">
              <w:marLeft w:val="0"/>
              <w:marRight w:val="0"/>
              <w:marTop w:val="0"/>
              <w:marBottom w:val="0"/>
              <w:divBdr>
                <w:top w:val="none" w:sz="0" w:space="0" w:color="auto"/>
                <w:left w:val="none" w:sz="0" w:space="0" w:color="auto"/>
                <w:bottom w:val="none" w:sz="0" w:space="0" w:color="auto"/>
                <w:right w:val="none" w:sz="0" w:space="0" w:color="auto"/>
              </w:divBdr>
            </w:div>
            <w:div w:id="55917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800</TotalTime>
  <Pages>4</Pages>
  <Words>1130</Words>
  <Characters>6444</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Sunlin Zhu/朱荪菻</cp:lastModifiedBy>
  <cp:revision>28</cp:revision>
  <cp:lastPrinted>2019-04-25T01:09:00Z</cp:lastPrinted>
  <dcterms:created xsi:type="dcterms:W3CDTF">2025-03-25T02:43:00Z</dcterms:created>
  <dcterms:modified xsi:type="dcterms:W3CDTF">2025-08-15T04:54:00Z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CWM86c567e0e95911ef80007f7a00007e7a">
    <vt:lpwstr>CWMRkA/16fToxF1J9Hn6DL9mHgk64/Eizj+yKyQSMlHjwm94KYC+WP8/eBhPim2LrF1weAg7qIEUsnhdpnP5+yGwg==</vt:lpwstr>
  </property>
</Properties>
</file>